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9" w:rsidRPr="00166306" w:rsidRDefault="00983B78" w:rsidP="00166306">
      <w:pPr>
        <w:pStyle w:val="ComunicatoEXPOData"/>
        <w:rPr>
          <w:smallCaps/>
        </w:rPr>
      </w:pPr>
      <w:r>
        <w:t>Novembre 2016</w:t>
      </w:r>
      <w:bookmarkStart w:id="0" w:name="_GoBack"/>
      <w:bookmarkEnd w:id="0"/>
    </w:p>
    <w:p w:rsidR="00DD0902" w:rsidRPr="00166306" w:rsidRDefault="0019077E" w:rsidP="00DD0902">
      <w:pPr>
        <w:pStyle w:val="ComunicatoEXPOTitolo"/>
        <w:rPr>
          <w:color w:val="76777B"/>
        </w:rPr>
      </w:pPr>
      <w:r>
        <w:rPr>
          <w:color w:val="76777B"/>
        </w:rPr>
        <w:t>SERIE 90 IDP: Affidabilità e performance</w:t>
      </w:r>
    </w:p>
    <w:p w:rsidR="00DD0902" w:rsidRPr="00166306" w:rsidRDefault="007B7FD4" w:rsidP="00DD0902">
      <w:pPr>
        <w:pStyle w:val="ComunicatoEXPOSottotitolo"/>
        <w:rPr>
          <w:color w:val="76777B"/>
        </w:rPr>
      </w:pPr>
      <w:r>
        <w:rPr>
          <w:color w:val="76777B"/>
        </w:rPr>
        <w:t>La nuova famiglia di interruttori differenziali della Serie 90 IDP di GEWISS offre soluzioni affidabili e altamente performanti per applicazioni residenziali e industriali.</w:t>
      </w:r>
    </w:p>
    <w:p w:rsidR="004D625E" w:rsidRPr="004D625E" w:rsidRDefault="003062CE" w:rsidP="007B7FD4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drawing>
          <wp:anchor distT="0" distB="0" distL="114300" distR="114300" simplePos="0" relativeHeight="251658240" behindDoc="0" locked="0" layoutInCell="1" allowOverlap="1" wp14:anchorId="35EA5FF1" wp14:editId="7B6F6DC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20000" cy="2520000"/>
            <wp:effectExtent l="0" t="0" r="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ie90Idp_0008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FD4">
        <w:rPr>
          <w:rFonts w:cs="Segoe UI Light"/>
          <w:color w:val="76777B"/>
        </w:rPr>
        <w:t xml:space="preserve">GEWISS presenta la nuova famiglia di interruttori differenziali della Serie 90 IDP: una vasta gamma di dispositivi, in grado di fornire una soluzione sia per applicazioni residenziali che per applicazioni industriali, che conferma </w:t>
      </w:r>
      <w:r w:rsidR="004D625E" w:rsidRPr="004D625E">
        <w:rPr>
          <w:rFonts w:cs="Segoe UI Light"/>
          <w:color w:val="76777B"/>
        </w:rPr>
        <w:t>la passione e vocazione di GEWISS nella progettazione e produzione di interruttori altamente performanti, affidabili e fac</w:t>
      </w:r>
      <w:r w:rsidR="007B7FD4">
        <w:rPr>
          <w:rFonts w:cs="Segoe UI Light"/>
          <w:color w:val="76777B"/>
        </w:rPr>
        <w:t>ili da installare e utilizzare.</w:t>
      </w:r>
    </w:p>
    <w:p w:rsidR="004D625E" w:rsidRPr="004D625E" w:rsidRDefault="004D625E" w:rsidP="004D625E">
      <w:pPr>
        <w:pStyle w:val="ComunicatoEXPOTesto"/>
        <w:rPr>
          <w:rFonts w:cs="Segoe UI Light"/>
          <w:color w:val="76777B"/>
        </w:rPr>
      </w:pPr>
      <w:r w:rsidRPr="004D625E">
        <w:rPr>
          <w:rFonts w:cs="Segoe UI Light"/>
          <w:color w:val="76777B"/>
        </w:rPr>
        <w:t>Gli interruttori differenziali puri IDP sono disponibili nelle versioni 2 e 4 poli con correnti nominali da 25A a 125A e sensibilità da 10mA fino a 500mA. In aggiunta alle tipologie AC, A e B sono offerte configurazioni speciali per risolvere</w:t>
      </w:r>
      <w:r>
        <w:rPr>
          <w:rFonts w:cs="Segoe UI Light"/>
          <w:color w:val="76777B"/>
        </w:rPr>
        <w:t xml:space="preserve"> i casi di scatto intempestivo (</w:t>
      </w:r>
      <w:r w:rsidRPr="004D625E">
        <w:rPr>
          <w:rFonts w:cs="Segoe UI Light"/>
          <w:color w:val="76777B"/>
        </w:rPr>
        <w:t>ad Immunità Rinforzata</w:t>
      </w:r>
      <w:r>
        <w:rPr>
          <w:rFonts w:cs="Segoe UI Light"/>
          <w:color w:val="76777B"/>
        </w:rPr>
        <w:t>)</w:t>
      </w:r>
      <w:r w:rsidRPr="004D625E">
        <w:rPr>
          <w:rFonts w:cs="Segoe UI Light"/>
          <w:color w:val="76777B"/>
        </w:rPr>
        <w:t xml:space="preserve"> e ottenere la</w:t>
      </w:r>
      <w:r>
        <w:rPr>
          <w:rFonts w:cs="Segoe UI Light"/>
          <w:color w:val="76777B"/>
        </w:rPr>
        <w:t xml:space="preserve"> selettività tra le protezioni (</w:t>
      </w:r>
      <w:r w:rsidRPr="004D625E">
        <w:rPr>
          <w:rFonts w:cs="Segoe UI Light"/>
          <w:color w:val="76777B"/>
        </w:rPr>
        <w:t>Selettivo</w:t>
      </w:r>
      <w:r>
        <w:rPr>
          <w:rFonts w:cs="Segoe UI Light"/>
          <w:color w:val="76777B"/>
        </w:rPr>
        <w:t>)</w:t>
      </w:r>
      <w:r w:rsidRPr="004D625E">
        <w:rPr>
          <w:rFonts w:cs="Segoe UI Light"/>
          <w:color w:val="76777B"/>
        </w:rPr>
        <w:t>. La qualità dei prodotti è certificata dai più importanti marchi di qualità internazionali.</w:t>
      </w:r>
    </w:p>
    <w:p w:rsidR="004D625E" w:rsidRDefault="004D625E" w:rsidP="004D625E">
      <w:pPr>
        <w:pStyle w:val="ComunicatoEXPOTesto"/>
        <w:rPr>
          <w:rFonts w:cs="Segoe UI Light"/>
          <w:color w:val="76777B"/>
        </w:rPr>
      </w:pPr>
      <w:r w:rsidRPr="004D625E">
        <w:rPr>
          <w:rFonts w:cs="Segoe UI Light"/>
          <w:color w:val="76777B"/>
        </w:rPr>
        <w:t>Gli interruttori sono stati progettati prestando particolare attenzione alla loro installazione. Grazie a dettagli come il porta cartellino</w:t>
      </w:r>
      <w:r w:rsidR="007B7FD4">
        <w:rPr>
          <w:rFonts w:cs="Segoe UI Light"/>
          <w:color w:val="76777B"/>
        </w:rPr>
        <w:t>,</w:t>
      </w:r>
      <w:r w:rsidRPr="004D625E">
        <w:rPr>
          <w:rFonts w:cs="Segoe UI Light"/>
          <w:color w:val="76777B"/>
        </w:rPr>
        <w:t xml:space="preserve"> utile per identificare il nome della linea, l'indicazione di scattato relè, i morsetti isolati con doppia connessione</w:t>
      </w:r>
      <w:r w:rsidR="007B7FD4">
        <w:rPr>
          <w:rFonts w:cs="Segoe UI Light"/>
          <w:color w:val="76777B"/>
        </w:rPr>
        <w:t>,</w:t>
      </w:r>
      <w:r w:rsidRPr="004D625E">
        <w:rPr>
          <w:rFonts w:cs="Segoe UI Light"/>
          <w:color w:val="76777B"/>
        </w:rPr>
        <w:t xml:space="preserve"> per cablaggio simultaneo di cavi e pettini a forcella</w:t>
      </w:r>
      <w:r w:rsidR="007B7FD4">
        <w:rPr>
          <w:rFonts w:cs="Segoe UI Light"/>
          <w:color w:val="76777B"/>
        </w:rPr>
        <w:t>,</w:t>
      </w:r>
      <w:r w:rsidRPr="004D625E">
        <w:rPr>
          <w:rFonts w:cs="Segoe UI Light"/>
          <w:color w:val="76777B"/>
        </w:rPr>
        <w:t xml:space="preserve"> e la possibilità di essere dotati di accessori</w:t>
      </w:r>
      <w:r w:rsidR="007B7FD4">
        <w:rPr>
          <w:rFonts w:cs="Segoe UI Light"/>
          <w:color w:val="76777B"/>
        </w:rPr>
        <w:t>,</w:t>
      </w:r>
      <w:r w:rsidRPr="004D625E">
        <w:rPr>
          <w:rFonts w:cs="Segoe UI Light"/>
          <w:color w:val="76777B"/>
        </w:rPr>
        <w:t xml:space="preserve"> l'utilizzo degli interruttori IDP è semplice e sicuro durant</w:t>
      </w:r>
      <w:r>
        <w:rPr>
          <w:rFonts w:cs="Segoe UI Light"/>
          <w:color w:val="76777B"/>
        </w:rPr>
        <w:t>e tutto il loro ciclo di vita.</w:t>
      </w:r>
    </w:p>
    <w:p w:rsidR="00B206FC" w:rsidRPr="007B7FD4" w:rsidRDefault="00B206FC" w:rsidP="00B206FC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 xml:space="preserve">Per garantire una continuità di servizio in completa sicurezza, i dispositivi della Serie 90 IDP possono essere associati a ReStart, il dispositivo di richiusura automatica intelligente inventato da GEWISS che, in caso di scatto differenziale riconnette automaticamente la linea solamente dopo </w:t>
      </w:r>
      <w:r w:rsidRPr="004D625E">
        <w:rPr>
          <w:rFonts w:cs="Segoe UI Light"/>
          <w:color w:val="76777B"/>
        </w:rPr>
        <w:t>una verifica del livello di isolamento dell'impianto</w:t>
      </w:r>
      <w:r>
        <w:rPr>
          <w:rFonts w:cs="Segoe UI Light"/>
          <w:color w:val="76777B"/>
        </w:rPr>
        <w:t>.</w:t>
      </w:r>
    </w:p>
    <w:p w:rsidR="00DD0902" w:rsidRDefault="004D625E" w:rsidP="004D625E">
      <w:pPr>
        <w:pStyle w:val="ComunicatoEXPOTesto"/>
        <w:rPr>
          <w:rFonts w:cs="Segoe UI Light"/>
          <w:color w:val="76777B"/>
        </w:rPr>
      </w:pPr>
      <w:r w:rsidRPr="004D625E">
        <w:rPr>
          <w:rFonts w:cs="Segoe UI Light"/>
          <w:color w:val="76777B"/>
        </w:rPr>
        <w:t>Gli interruttori differenziali puri IDP sono completamente integrati nel sistema di protezioni modulari GEWISS</w:t>
      </w:r>
      <w:r w:rsidR="007B7FD4">
        <w:rPr>
          <w:rFonts w:cs="Segoe UI Light"/>
          <w:color w:val="76777B"/>
        </w:rPr>
        <w:t xml:space="preserve">: una gamma completa di </w:t>
      </w:r>
      <w:r w:rsidRPr="004D625E">
        <w:rPr>
          <w:rFonts w:cs="Segoe UI Light"/>
          <w:color w:val="76777B"/>
        </w:rPr>
        <w:t>interruttori magnetotermici compatti e standard, interruttori magnetotermici differenziali compatti, blocchi differenziali, accessori modulari, interruttori scatolati, quadri di distribuzione e</w:t>
      </w:r>
      <w:r w:rsidR="007B7FD4">
        <w:rPr>
          <w:rFonts w:cs="Segoe UI Light"/>
          <w:color w:val="76777B"/>
        </w:rPr>
        <w:t xml:space="preserve"> sistemi di connessione rapida che offre </w:t>
      </w:r>
      <w:r w:rsidRPr="004D625E">
        <w:rPr>
          <w:rFonts w:cs="Segoe UI Light"/>
          <w:color w:val="76777B"/>
        </w:rPr>
        <w:t>performance eccellenti per applicazioni fino a 1600A.</w:t>
      </w:r>
    </w:p>
    <w:sectPr w:rsidR="00DD0902" w:rsidSect="00166306">
      <w:headerReference w:type="default" r:id="rId9"/>
      <w:footerReference w:type="default" r:id="rId10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20" w:rsidRDefault="00C41420" w:rsidP="006F1F2E">
      <w:r>
        <w:separator/>
      </w:r>
    </w:p>
  </w:endnote>
  <w:endnote w:type="continuationSeparator" w:id="0">
    <w:p w:rsidR="00C41420" w:rsidRDefault="00C41420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0A" w:rsidRPr="00A3444C" w:rsidRDefault="001450F9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 w:rsidRPr="00A3444C">
      <w:rPr>
        <w:rFonts w:ascii="Segoe UI" w:hAnsi="Segoe UI" w:cs="Segoe UI"/>
        <w:noProof/>
        <w:color w:val="002C50"/>
        <w:spacing w:val="20"/>
        <w:sz w:val="16"/>
        <w:szCs w:val="16"/>
      </w:rPr>
      <w:drawing>
        <wp:anchor distT="0" distB="0" distL="114300" distR="114300" simplePos="0" relativeHeight="251681792" behindDoc="0" locked="0" layoutInCell="1" allowOverlap="1" wp14:anchorId="038B39D7" wp14:editId="0F369A71">
          <wp:simplePos x="0" y="0"/>
          <wp:positionH relativeFrom="margin">
            <wp:posOffset>5471160</wp:posOffset>
          </wp:positionH>
          <wp:positionV relativeFrom="page">
            <wp:posOffset>9820275</wp:posOffset>
          </wp:positionV>
          <wp:extent cx="647700" cy="6477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_with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A83FF5" wp14:editId="79AA7304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Ufficio Stampa e Contenuti Editoriali GEWISS</w:t>
                          </w:r>
                        </w:p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Tel. 035 946111 – </w:t>
                          </w:r>
                          <w:hyperlink r:id="rId2" w:history="1">
                            <w:r w:rsidRPr="00D3719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</w:rPr>
                              <w:t>www.gewiss.com</w:t>
                            </w:r>
                          </w:hyperlink>
                        </w:p>
                        <w:p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D3719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E89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Ufficio Stampa e Contenuti Editoriali GEWISS</w:t>
                    </w:r>
                  </w:p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Tel. 035 946111 – </w:t>
                    </w:r>
                    <w:hyperlink r:id="rId4" w:history="1">
                      <w:r w:rsidRPr="00D3719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</w:rPr>
                        <w:t>www.gewiss.com</w:t>
                      </w:r>
                    </w:hyperlink>
                  </w:p>
                  <w:p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 w:rsidRPr="00D3719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37198"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1B0B5891" wp14:editId="1D516CBF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3" name="Immagine 13">
            <a:hlinkClick xmlns:a="http://schemas.openxmlformats.org/drawingml/2006/main" r:id="rId6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57C5AC75" wp14:editId="5575F2DF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2" name="Immagine 12">
            <a:hlinkClick xmlns:a="http://schemas.openxmlformats.org/drawingml/2006/main" r:id="rId8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28F34435" wp14:editId="178C6E03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1" name="Immagine 11">
            <a:hlinkClick xmlns:a="http://schemas.openxmlformats.org/drawingml/2006/main" r:id="rId10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01652AE2" wp14:editId="212ABFA6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0" name="Immagine 10">
            <a:hlinkClick xmlns:a="http://schemas.openxmlformats.org/drawingml/2006/main" r:id="rId12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000708D8" wp14:editId="28EAF4AA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9" name="Immagine 9">
            <a:hlinkClick xmlns:a="http://schemas.openxmlformats.org/drawingml/2006/main" r:id="rId14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58B8E3B4" wp14:editId="48045A3A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8" name="Immagine 8">
            <a:hlinkClick xmlns:a="http://schemas.openxmlformats.org/drawingml/2006/main" r:id="rId16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20" w:rsidRDefault="00C41420" w:rsidP="006F1F2E">
      <w:r>
        <w:separator/>
      </w:r>
    </w:p>
  </w:footnote>
  <w:footnote w:type="continuationSeparator" w:id="0">
    <w:p w:rsidR="00C41420" w:rsidRDefault="00C41420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8231D"/>
    <w:multiLevelType w:val="hybridMultilevel"/>
    <w:tmpl w:val="A8E2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91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6331"/>
    <w:rsid w:val="000C22A8"/>
    <w:rsid w:val="000E5436"/>
    <w:rsid w:val="000F3460"/>
    <w:rsid w:val="001051BB"/>
    <w:rsid w:val="001116BA"/>
    <w:rsid w:val="00112B9C"/>
    <w:rsid w:val="00124D86"/>
    <w:rsid w:val="00144F0F"/>
    <w:rsid w:val="001450F9"/>
    <w:rsid w:val="001553A2"/>
    <w:rsid w:val="001577CA"/>
    <w:rsid w:val="00165B5E"/>
    <w:rsid w:val="00166306"/>
    <w:rsid w:val="00171D98"/>
    <w:rsid w:val="00175C81"/>
    <w:rsid w:val="0019077E"/>
    <w:rsid w:val="001A1151"/>
    <w:rsid w:val="001A7841"/>
    <w:rsid w:val="001B4207"/>
    <w:rsid w:val="001C1DF0"/>
    <w:rsid w:val="00215C92"/>
    <w:rsid w:val="00220A0F"/>
    <w:rsid w:val="00241098"/>
    <w:rsid w:val="00243779"/>
    <w:rsid w:val="002638AC"/>
    <w:rsid w:val="00272F7A"/>
    <w:rsid w:val="002761AB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5CF7"/>
    <w:rsid w:val="002F6F58"/>
    <w:rsid w:val="00300E0D"/>
    <w:rsid w:val="00302FDF"/>
    <w:rsid w:val="003062CE"/>
    <w:rsid w:val="00306B2F"/>
    <w:rsid w:val="00307E6B"/>
    <w:rsid w:val="00311591"/>
    <w:rsid w:val="00313946"/>
    <w:rsid w:val="00325719"/>
    <w:rsid w:val="003362E6"/>
    <w:rsid w:val="003429FE"/>
    <w:rsid w:val="00363D27"/>
    <w:rsid w:val="00367216"/>
    <w:rsid w:val="00397158"/>
    <w:rsid w:val="003A3D30"/>
    <w:rsid w:val="003A43B5"/>
    <w:rsid w:val="003A4951"/>
    <w:rsid w:val="003A4A30"/>
    <w:rsid w:val="003B6B71"/>
    <w:rsid w:val="003C2B09"/>
    <w:rsid w:val="003E78DF"/>
    <w:rsid w:val="003F4181"/>
    <w:rsid w:val="003F4E36"/>
    <w:rsid w:val="004102D2"/>
    <w:rsid w:val="00431D3B"/>
    <w:rsid w:val="0043463B"/>
    <w:rsid w:val="00442FE0"/>
    <w:rsid w:val="00447B58"/>
    <w:rsid w:val="004547E6"/>
    <w:rsid w:val="0045733B"/>
    <w:rsid w:val="00466BDB"/>
    <w:rsid w:val="004677B8"/>
    <w:rsid w:val="004776DE"/>
    <w:rsid w:val="0048354B"/>
    <w:rsid w:val="00483BB5"/>
    <w:rsid w:val="00483CA0"/>
    <w:rsid w:val="004855E1"/>
    <w:rsid w:val="004C13D4"/>
    <w:rsid w:val="004D625E"/>
    <w:rsid w:val="004E4932"/>
    <w:rsid w:val="004F72D8"/>
    <w:rsid w:val="00501043"/>
    <w:rsid w:val="005165F5"/>
    <w:rsid w:val="00522F21"/>
    <w:rsid w:val="00534AA7"/>
    <w:rsid w:val="00567D13"/>
    <w:rsid w:val="00572365"/>
    <w:rsid w:val="00591572"/>
    <w:rsid w:val="00591687"/>
    <w:rsid w:val="00595705"/>
    <w:rsid w:val="005A717D"/>
    <w:rsid w:val="005A78B2"/>
    <w:rsid w:val="005B7AF7"/>
    <w:rsid w:val="005C48B2"/>
    <w:rsid w:val="005D2B0A"/>
    <w:rsid w:val="005F4AD7"/>
    <w:rsid w:val="00606042"/>
    <w:rsid w:val="00627B20"/>
    <w:rsid w:val="00640817"/>
    <w:rsid w:val="00641327"/>
    <w:rsid w:val="0065149F"/>
    <w:rsid w:val="0066349C"/>
    <w:rsid w:val="00666A2E"/>
    <w:rsid w:val="00676E7A"/>
    <w:rsid w:val="00683AE1"/>
    <w:rsid w:val="006903EE"/>
    <w:rsid w:val="00690BF8"/>
    <w:rsid w:val="006A21D5"/>
    <w:rsid w:val="006B3E81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60061"/>
    <w:rsid w:val="007759B2"/>
    <w:rsid w:val="00792AD6"/>
    <w:rsid w:val="007A30F9"/>
    <w:rsid w:val="007A3F9C"/>
    <w:rsid w:val="007B1075"/>
    <w:rsid w:val="007B7FD4"/>
    <w:rsid w:val="007D7396"/>
    <w:rsid w:val="008113DE"/>
    <w:rsid w:val="0082606D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9076B7"/>
    <w:rsid w:val="00910D02"/>
    <w:rsid w:val="00924A05"/>
    <w:rsid w:val="00932E66"/>
    <w:rsid w:val="009426CA"/>
    <w:rsid w:val="00955859"/>
    <w:rsid w:val="00983B78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206FC"/>
    <w:rsid w:val="00B542C1"/>
    <w:rsid w:val="00B56FE7"/>
    <w:rsid w:val="00B57CF3"/>
    <w:rsid w:val="00B66A0C"/>
    <w:rsid w:val="00B77343"/>
    <w:rsid w:val="00B84F0A"/>
    <w:rsid w:val="00BA738E"/>
    <w:rsid w:val="00BB4A3B"/>
    <w:rsid w:val="00C02544"/>
    <w:rsid w:val="00C059C5"/>
    <w:rsid w:val="00C13BAA"/>
    <w:rsid w:val="00C151F5"/>
    <w:rsid w:val="00C271CC"/>
    <w:rsid w:val="00C3337E"/>
    <w:rsid w:val="00C41420"/>
    <w:rsid w:val="00C44AEA"/>
    <w:rsid w:val="00C56201"/>
    <w:rsid w:val="00C65FB3"/>
    <w:rsid w:val="00C66507"/>
    <w:rsid w:val="00C809D1"/>
    <w:rsid w:val="00C83B88"/>
    <w:rsid w:val="00C91EDC"/>
    <w:rsid w:val="00CA0149"/>
    <w:rsid w:val="00CA3C65"/>
    <w:rsid w:val="00CA7A80"/>
    <w:rsid w:val="00CB297D"/>
    <w:rsid w:val="00CB33BE"/>
    <w:rsid w:val="00CB713F"/>
    <w:rsid w:val="00CC4264"/>
    <w:rsid w:val="00CF527A"/>
    <w:rsid w:val="00D024E2"/>
    <w:rsid w:val="00D37198"/>
    <w:rsid w:val="00D41A4F"/>
    <w:rsid w:val="00D514DC"/>
    <w:rsid w:val="00D56346"/>
    <w:rsid w:val="00D57184"/>
    <w:rsid w:val="00DB0E6F"/>
    <w:rsid w:val="00DC31CA"/>
    <w:rsid w:val="00DC60D4"/>
    <w:rsid w:val="00DD0902"/>
    <w:rsid w:val="00DD0CF1"/>
    <w:rsid w:val="00DD19C7"/>
    <w:rsid w:val="00DF74D4"/>
    <w:rsid w:val="00E10D44"/>
    <w:rsid w:val="00E21F37"/>
    <w:rsid w:val="00E30D33"/>
    <w:rsid w:val="00E31A03"/>
    <w:rsid w:val="00E35D03"/>
    <w:rsid w:val="00E52EAA"/>
    <w:rsid w:val="00E73D19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4507C"/>
    <w:rsid w:val="00F72508"/>
    <w:rsid w:val="00F84BDA"/>
    <w:rsid w:val="00F94F48"/>
    <w:rsid w:val="00F951F9"/>
    <w:rsid w:val="00FB329A"/>
    <w:rsid w:val="00FC371D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BEBC080-83F5-4730-9363-C51ED055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gewiss" TargetMode="External"/><Relationship Id="rId13" Type="http://schemas.openxmlformats.org/officeDocument/2006/relationships/image" Target="media/image7.png"/><Relationship Id="rId3" Type="http://schemas.openxmlformats.org/officeDocument/2006/relationships/hyperlink" Target="mailto:pressrelations@gewiss.com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plus.google.com/+gewiss/posts" TargetMode="External"/><Relationship Id="rId17" Type="http://schemas.openxmlformats.org/officeDocument/2006/relationships/image" Target="media/image9.png"/><Relationship Id="rId2" Type="http://schemas.openxmlformats.org/officeDocument/2006/relationships/hyperlink" Target="file:///C:\Users\BonacDR\Desktop\www.gewiss.com" TargetMode="External"/><Relationship Id="rId16" Type="http://schemas.openxmlformats.org/officeDocument/2006/relationships/hyperlink" Target="https://www.facebook.com/GEWISSGROUP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instagram.com/gewissgroup/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pressrelations@gewiss.com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s://www.youtube.com/user/GEWISStv" TargetMode="External"/><Relationship Id="rId4" Type="http://schemas.openxmlformats.org/officeDocument/2006/relationships/hyperlink" Target="file:///C:\Users\BonacDR\Desktop\www.gewiss.com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Gewiss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AADA-4C07-4FE9-BBC7-CC3DF813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Leoni Ivan</cp:lastModifiedBy>
  <cp:revision>10</cp:revision>
  <cp:lastPrinted>2015-12-18T09:27:00Z</cp:lastPrinted>
  <dcterms:created xsi:type="dcterms:W3CDTF">2015-12-18T10:11:00Z</dcterms:created>
  <dcterms:modified xsi:type="dcterms:W3CDTF">2016-11-30T13:10:00Z</dcterms:modified>
</cp:coreProperties>
</file>