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0C6B80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494C35" w:rsidP="00DD0902">
      <w:pPr>
        <w:pStyle w:val="ComunicatoEXPOTitolo"/>
        <w:rPr>
          <w:color w:val="76777B"/>
        </w:rPr>
      </w:pPr>
      <w:r w:rsidRPr="00494C35">
        <w:rPr>
          <w:color w:val="76777B"/>
        </w:rPr>
        <w:t>SERIE 44CE, GRANDI SOLUZIONI PER L’IMPIANTO</w:t>
      </w:r>
    </w:p>
    <w:p w:rsidR="00DD0902" w:rsidRPr="00166306" w:rsidRDefault="00494C35" w:rsidP="00DD0902">
      <w:pPr>
        <w:pStyle w:val="ComunicatoEXPOSottotitolo"/>
        <w:rPr>
          <w:color w:val="76777B"/>
        </w:rPr>
      </w:pPr>
      <w:r w:rsidRPr="00494C35">
        <w:rPr>
          <w:color w:val="76777B"/>
        </w:rPr>
        <w:t>GEWISS presenta le nuove cassette di derivazione con fondo ad alta capienza per rispondere alle esigenze di cablaggio per impianti elettrici evoluti.</w:t>
      </w:r>
    </w:p>
    <w:p w:rsidR="00494C35" w:rsidRPr="00494C35" w:rsidRDefault="00494C35" w:rsidP="00494C35">
      <w:pPr>
        <w:pStyle w:val="ComunicatoEXPOTesto"/>
        <w:rPr>
          <w:color w:val="76777B"/>
        </w:rPr>
      </w:pPr>
      <w:r w:rsidRPr="00494C35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4D63694C" wp14:editId="79CB781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514725" cy="2076450"/>
            <wp:effectExtent l="0" t="0" r="9525" b="0"/>
            <wp:wrapSquare wrapText="bothSides"/>
            <wp:docPr id="1" name="Immagine 0" descr="Energy_4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_44CE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C35">
        <w:rPr>
          <w:color w:val="76777B"/>
        </w:rPr>
        <w:t xml:space="preserve">GEWISS ha realizzato la nuova Serie 44 CE di cassette con fondo ad alta capienza in risposta alle nuove esigenze del mercato elettrotecnico che richiede </w:t>
      </w:r>
      <w:r w:rsidRPr="00494C35">
        <w:rPr>
          <w:b/>
          <w:color w:val="76777B"/>
        </w:rPr>
        <w:t>maggiori spazi per il cablaggio dovuti all’elevata elettrificazione dei nuovi impianti</w:t>
      </w:r>
      <w:r w:rsidRPr="00494C35">
        <w:rPr>
          <w:color w:val="76777B"/>
        </w:rPr>
        <w:t>; il grande numero di linee elettriche richiede infatti tubazioni con maggiori diametri e cassette di derivazione ad elevata contenibilità.</w:t>
      </w:r>
    </w:p>
    <w:p w:rsidR="00494C35" w:rsidRPr="00494C35" w:rsidRDefault="00494C35" w:rsidP="00494C35">
      <w:pPr>
        <w:pStyle w:val="ComunicatoEXPOTesto"/>
        <w:rPr>
          <w:color w:val="76777B"/>
        </w:rPr>
      </w:pPr>
      <w:r w:rsidRPr="00494C35">
        <w:rPr>
          <w:color w:val="76777B"/>
        </w:rPr>
        <w:t xml:space="preserve">Queste specifiche caratteristiche hanno guidato la progettazione e la realizzazione della nuova serie di cassette: ogni particolare è stato studiato per </w:t>
      </w:r>
      <w:r w:rsidRPr="00494C35">
        <w:rPr>
          <w:b/>
          <w:color w:val="76777B"/>
        </w:rPr>
        <w:t>facilitare l’installazione, l’uso e l’applicazione</w:t>
      </w:r>
      <w:r w:rsidRPr="00494C35">
        <w:rPr>
          <w:color w:val="76777B"/>
        </w:rPr>
        <w:t xml:space="preserve">. Queste linee guida hanno portato alla realizzazione di cassette particolarmente robuste anche senza nervature sulle pareti verticali interne e particolari nervature funzionali sul fondo che consentono il fissaggio di piastre, guide DIN e morsettiere. Le cassette permettono il </w:t>
      </w:r>
      <w:r w:rsidRPr="00494C35">
        <w:rPr>
          <w:b/>
          <w:color w:val="76777B"/>
        </w:rPr>
        <w:t>facile raccordo di tubi con grande diametro</w:t>
      </w:r>
      <w:r w:rsidRPr="00494C35">
        <w:rPr>
          <w:color w:val="76777B"/>
        </w:rPr>
        <w:t xml:space="preserve"> (fino a 50mm ø) </w:t>
      </w:r>
      <w:r w:rsidRPr="00494C35">
        <w:rPr>
          <w:b/>
          <w:color w:val="76777B"/>
        </w:rPr>
        <w:t>senza alcuna interferenza con i molteplici accessori</w:t>
      </w:r>
      <w:r w:rsidRPr="00494C35">
        <w:rPr>
          <w:color w:val="76777B"/>
        </w:rPr>
        <w:t xml:space="preserve"> poiché le nervature arretrate non interferiscono con le ghiere interne dei raccordi tubo-scatola.</w:t>
      </w:r>
    </w:p>
    <w:p w:rsidR="00494C35" w:rsidRPr="00494C35" w:rsidRDefault="00494C35" w:rsidP="00494C35">
      <w:pPr>
        <w:pStyle w:val="ComunicatoEXPOTesto"/>
        <w:rPr>
          <w:color w:val="76777B"/>
        </w:rPr>
      </w:pPr>
      <w:r w:rsidRPr="00494C35">
        <w:rPr>
          <w:color w:val="76777B"/>
        </w:rPr>
        <w:t>Nelle due grandezze maggiori oltre alle classiche soluzioni di montaggio tramite staffe di fissaggio e vite/tassello (presenti in tutte le versioni), sul fondo sono realizzate anche specifiche sedi dedicate al fissaggio rapido tramite chiodatrice. I coperchi adottano le viti di fissaggio in plastica di forma sferica che permettono l’apertura a cerniera e dalla grandezza 8 il fondo permette di montare piastre di fondo anche di dimensione inferiore.</w:t>
      </w:r>
    </w:p>
    <w:p w:rsidR="00494C35" w:rsidRPr="00494C35" w:rsidRDefault="00494C35" w:rsidP="00494C35">
      <w:pPr>
        <w:pStyle w:val="ComunicatoEXPOTesto"/>
        <w:rPr>
          <w:color w:val="76777B"/>
        </w:rPr>
      </w:pPr>
      <w:r w:rsidRPr="00494C35">
        <w:rPr>
          <w:color w:val="76777B"/>
        </w:rPr>
        <w:t xml:space="preserve">Le dimensioni vanno </w:t>
      </w:r>
      <w:r w:rsidRPr="00494C35">
        <w:rPr>
          <w:b/>
          <w:color w:val="76777B"/>
        </w:rPr>
        <w:t>da 100x100 con altezza 80mm fino a 380x300 con altezza 170mm</w:t>
      </w:r>
      <w:r w:rsidRPr="00494C35">
        <w:rPr>
          <w:color w:val="76777B"/>
        </w:rPr>
        <w:t xml:space="preserve">; offerte sia con coperchio cieco che trasparente, queste caratteristiche e la totale sinergia con gli accessori della famiglia qualificano ulteriormente la già ampia offerta della Serie 44CE. </w:t>
      </w:r>
    </w:p>
    <w:p w:rsidR="00DD0902" w:rsidRPr="00494C35" w:rsidRDefault="00494C35" w:rsidP="00494C35">
      <w:pPr>
        <w:pStyle w:val="ComunicatoEXPOTesto"/>
        <w:rPr>
          <w:color w:val="76777B"/>
        </w:rPr>
      </w:pPr>
      <w:r w:rsidRPr="00494C35">
        <w:rPr>
          <w:color w:val="76777B"/>
        </w:rPr>
        <w:t xml:space="preserve">Realizzate con </w:t>
      </w:r>
      <w:r w:rsidRPr="00494C35">
        <w:rPr>
          <w:b/>
          <w:color w:val="76777B"/>
        </w:rPr>
        <w:t>tecnopolimeri di elevata qualità privi di alogeni</w:t>
      </w:r>
      <w:r w:rsidRPr="00494C35">
        <w:rPr>
          <w:color w:val="76777B"/>
        </w:rPr>
        <w:t xml:space="preserve">, le nuove cassette garantiscono un </w:t>
      </w:r>
      <w:r w:rsidRPr="00494C35">
        <w:rPr>
          <w:b/>
          <w:color w:val="76777B"/>
        </w:rPr>
        <w:t>grado di autoestinguenza pari a GWT 650°C e grado di protezione IP56</w:t>
      </w:r>
      <w:r w:rsidRPr="00494C35">
        <w:rPr>
          <w:color w:val="76777B"/>
        </w:rPr>
        <w:t>. Queste caratteristiche permettono l’impiego delle cassette 44CE in qualsiasi ambiente sia interno che esterno anche in quelli con maggior rischio d’incendio.</w:t>
      </w:r>
    </w:p>
    <w:sectPr w:rsidR="00DD0902" w:rsidRPr="00494C35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F3" w:rsidRDefault="009844F3" w:rsidP="006F1F2E">
      <w:r>
        <w:separator/>
      </w:r>
    </w:p>
  </w:endnote>
  <w:endnote w:type="continuationSeparator" w:id="0">
    <w:p w:rsidR="009844F3" w:rsidRDefault="009844F3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35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6DA65A2" wp14:editId="1379D97C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F3" w:rsidRDefault="009844F3" w:rsidP="006F1F2E">
      <w:r>
        <w:separator/>
      </w:r>
    </w:p>
  </w:footnote>
  <w:footnote w:type="continuationSeparator" w:id="0">
    <w:p w:rsidR="009844F3" w:rsidRDefault="009844F3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35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C6B80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94C35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44F3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E2C43E-2348-44B4-AA78-313569C0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14EF-3914-4D2E-9690-9D9553F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2015-10-29T08:38:00Z</dcterms:created>
  <dcterms:modified xsi:type="dcterms:W3CDTF">2016-11-30T13:41:00Z</dcterms:modified>
</cp:coreProperties>
</file>