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8314F7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894A8A" w:rsidP="00DD0902">
      <w:pPr>
        <w:pStyle w:val="ComunicatoEXPOTitolo"/>
        <w:rPr>
          <w:color w:val="76777B"/>
        </w:rPr>
      </w:pPr>
      <w:r w:rsidRPr="00894A8A">
        <w:rPr>
          <w:color w:val="76777B"/>
        </w:rPr>
        <w:t>P-COMFORT, SOLUZIONI PER L’EFFICIENZA ENERGETICA</w:t>
      </w:r>
    </w:p>
    <w:p w:rsidR="00DD0902" w:rsidRPr="00166306" w:rsidRDefault="00894A8A" w:rsidP="00DD0902">
      <w:pPr>
        <w:pStyle w:val="ComunicatoEXPOSottotitolo"/>
        <w:rPr>
          <w:color w:val="76777B"/>
        </w:rPr>
      </w:pPr>
      <w:r w:rsidRPr="00894A8A">
        <w:rPr>
          <w:color w:val="76777B"/>
        </w:rPr>
        <w:t>P-COMFORT di GEWISS è il dispositivo che favorisce una maggiore consapevolezza dei consumi energetici dell’impianto e gestisce automaticamente i sovraccarichi di energia.</w:t>
      </w:r>
    </w:p>
    <w:p w:rsidR="00894A8A" w:rsidRPr="00894A8A" w:rsidRDefault="00894A8A" w:rsidP="00894A8A">
      <w:pPr>
        <w:pStyle w:val="ComunicatoEXPOTesto"/>
        <w:rPr>
          <w:color w:val="76777B"/>
        </w:rPr>
      </w:pPr>
      <w:r w:rsidRPr="00894A8A">
        <w:rPr>
          <w:color w:val="76777B"/>
        </w:rPr>
        <w:t xml:space="preserve">P-Comfort è il dispositivo installabile nel tradizionale centralino domestico che gestisce in modo intelligente la potenza dell’impianto elettrico. </w:t>
      </w:r>
    </w:p>
    <w:p w:rsidR="00894A8A" w:rsidRPr="00894A8A" w:rsidRDefault="00894A8A" w:rsidP="00894A8A">
      <w:pPr>
        <w:pStyle w:val="ComunicatoEXPOTesto"/>
        <w:rPr>
          <w:color w:val="76777B"/>
        </w:rPr>
      </w:pPr>
      <w:r w:rsidRPr="00894A8A">
        <w:rPr>
          <w:color w:val="76777B"/>
        </w:rPr>
        <w:drawing>
          <wp:anchor distT="0" distB="0" distL="114300" distR="114300" simplePos="0" relativeHeight="251659264" behindDoc="0" locked="0" layoutInCell="1" allowOverlap="1" wp14:anchorId="1C854AA0" wp14:editId="408CA960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036304" cy="284400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-Comfort_000046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304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A8A">
        <w:rPr>
          <w:color w:val="76777B"/>
        </w:rPr>
        <w:t xml:space="preserve">In caso di accensione contemporanea di più elettrodomestici, </w:t>
      </w:r>
      <w:r w:rsidRPr="00894A8A">
        <w:rPr>
          <w:b/>
          <w:color w:val="76777B"/>
        </w:rPr>
        <w:t>P-COMFORT avvisa con un segnale acustico e ottico che si stanno superando i limiti di consumo dell’energia</w:t>
      </w:r>
      <w:r w:rsidRPr="00894A8A">
        <w:rPr>
          <w:color w:val="76777B"/>
        </w:rPr>
        <w:t xml:space="preserve">. In questo modo, basterà intervenire disattivando uno degli elettrodomestici e il consumo di energia tornerà al di sotto della soglia consentita. </w:t>
      </w:r>
    </w:p>
    <w:p w:rsidR="00894A8A" w:rsidRPr="00894A8A" w:rsidRDefault="00894A8A" w:rsidP="00894A8A">
      <w:pPr>
        <w:pStyle w:val="ComunicatoEXPOTesto"/>
        <w:rPr>
          <w:color w:val="76777B"/>
        </w:rPr>
      </w:pPr>
      <w:r w:rsidRPr="00894A8A">
        <w:rPr>
          <w:color w:val="76777B"/>
        </w:rPr>
        <w:t>Se invece il sovraccarico persiste, P-COMFORT non toglie la corrente a tutta la casa, ma solo agli elettrodomestici non prioritari, quelli scelti personalmente dall’utente, per poi riattivarla autonomamente dopo un periodo di tempo prestabilito. Ad esempio, impostando come non prioritari i carichi elettrici del bagno, in caso di contemporanea attivazione di forno e asciugacapelli - e di mancato intervento diretto - verrà interrotta la sola corrente del phon mentre il forno e gli elettrodomestici della cucina continueranno a funzionare correttamente.</w:t>
      </w:r>
    </w:p>
    <w:p w:rsidR="00DD0902" w:rsidRPr="00894A8A" w:rsidRDefault="00894A8A" w:rsidP="00894A8A">
      <w:pPr>
        <w:pStyle w:val="ComunicatoEXPOTesto"/>
        <w:rPr>
          <w:color w:val="76777B"/>
        </w:rPr>
      </w:pPr>
      <w:r w:rsidRPr="00894A8A">
        <w:rPr>
          <w:color w:val="76777B"/>
        </w:rPr>
        <w:t xml:space="preserve">Così tutto continuerà a funzionare come sempre, evitando che la casa rimanga al buio. Inoltre, grazie al display presente sul dispositivo è possibile </w:t>
      </w:r>
      <w:r w:rsidRPr="00894A8A">
        <w:rPr>
          <w:b/>
          <w:color w:val="76777B"/>
        </w:rPr>
        <w:t>visualizzare e avere sempre sotto controllo la potenza assorbita in ogni istante dall’abitazione</w:t>
      </w:r>
      <w:r w:rsidRPr="00894A8A">
        <w:rPr>
          <w:color w:val="76777B"/>
        </w:rPr>
        <w:t xml:space="preserve">. Questo consente una maggior consapevolezza dei consumi energetici dell’abitazione, </w:t>
      </w:r>
      <w:r w:rsidRPr="00894A8A">
        <w:rPr>
          <w:b/>
          <w:color w:val="76777B"/>
        </w:rPr>
        <w:t>favorendo un uso più razionale dell’energia ed evitando inutili sprechi</w:t>
      </w:r>
      <w:r w:rsidRPr="00894A8A">
        <w:rPr>
          <w:color w:val="76777B"/>
        </w:rPr>
        <w:t>.</w:t>
      </w:r>
    </w:p>
    <w:sectPr w:rsidR="00DD0902" w:rsidRPr="00894A8A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A6" w:rsidRDefault="007B25A6" w:rsidP="006F1F2E">
      <w:r>
        <w:separator/>
      </w:r>
    </w:p>
  </w:endnote>
  <w:endnote w:type="continuationSeparator" w:id="0">
    <w:p w:rsidR="007B25A6" w:rsidRDefault="007B25A6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A8A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54E5048" wp14:editId="686AB3B2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A6" w:rsidRDefault="007B25A6" w:rsidP="006F1F2E">
      <w:r>
        <w:separator/>
      </w:r>
    </w:p>
  </w:footnote>
  <w:footnote w:type="continuationSeparator" w:id="0">
    <w:p w:rsidR="007B25A6" w:rsidRDefault="007B25A6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8A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B25A6"/>
    <w:rsid w:val="007D7396"/>
    <w:rsid w:val="008113DE"/>
    <w:rsid w:val="0082606D"/>
    <w:rsid w:val="008314F7"/>
    <w:rsid w:val="0083623D"/>
    <w:rsid w:val="008454B5"/>
    <w:rsid w:val="008473B4"/>
    <w:rsid w:val="008705B0"/>
    <w:rsid w:val="00874FD6"/>
    <w:rsid w:val="00894A8A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850CCD-05C1-4495-AAE9-FECA33C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B3B4-24D2-431F-998E-D4F17C14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2015-10-29T10:09:00Z</dcterms:created>
  <dcterms:modified xsi:type="dcterms:W3CDTF">2016-11-30T11:29:00Z</dcterms:modified>
</cp:coreProperties>
</file>