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862C7F" w:rsidP="00166306">
      <w:pPr>
        <w:pStyle w:val="ComunicatoEXPOData"/>
        <w:rPr>
          <w:smallCaps/>
        </w:rPr>
      </w:pPr>
      <w:r>
        <w:t>November 2017</w:t>
      </w:r>
      <w:bookmarkStart w:id="0" w:name="_GoBack"/>
      <w:bookmarkEnd w:id="0"/>
    </w:p>
    <w:p w:rsidR="00241C3B" w:rsidRPr="00241C3B" w:rsidRDefault="00095085" w:rsidP="00241C3B">
      <w:pPr>
        <w:pStyle w:val="ComunicatoEXPOTitolo"/>
        <w:rPr>
          <w:color w:val="76777B"/>
        </w:rPr>
      </w:pPr>
      <w:r>
        <w:rPr>
          <w:color w:val="76777B"/>
        </w:rPr>
        <w:t>A r-evolution in mobility</w:t>
      </w:r>
    </w:p>
    <w:p w:rsidR="00DD0902" w:rsidRPr="00166306" w:rsidRDefault="000E3A5C" w:rsidP="00241C3B">
      <w:pPr>
        <w:pStyle w:val="ComunicatoEXPOSottotitolo"/>
        <w:rPr>
          <w:color w:val="76777B"/>
        </w:rPr>
      </w:pPr>
      <w:r>
        <w:rPr>
          <w:noProof/>
          <w:lang w:val="it-IT"/>
        </w:rPr>
        <w:drawing>
          <wp:anchor distT="0" distB="0" distL="114300" distR="114300" simplePos="0" relativeHeight="251658240" behindDoc="0" locked="0" layoutInCell="1" allowOverlap="1" wp14:anchorId="1E5EE931" wp14:editId="3A24B9A5">
            <wp:simplePos x="0" y="0"/>
            <wp:positionH relativeFrom="margin">
              <wp:posOffset>-137160</wp:posOffset>
            </wp:positionH>
            <wp:positionV relativeFrom="margin">
              <wp:posOffset>1015365</wp:posOffset>
            </wp:positionV>
            <wp:extent cx="1222375" cy="2192655"/>
            <wp:effectExtent l="0" t="0" r="0" b="0"/>
            <wp:wrapSquare wrapText="bothSides"/>
            <wp:docPr id="1" name="Immagine 1" descr="H:\2016\02 - Media Relations\02 - Italia\08 - Case History - Referenze\Lighting\LediBerg\R-EVolution\R-EV 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6\02 - Media Relations\02 - Italia\08 - Case History - Referenze\Lighting\LediBerg\R-EVolution\R-EV Hom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61" r="21740"/>
                    <a:stretch/>
                  </pic:blipFill>
                  <pic:spPr bwMode="auto">
                    <a:xfrm>
                      <a:off x="0" y="0"/>
                      <a:ext cx="1222375" cy="2192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76777B"/>
        </w:rPr>
        <w:t>GEWISS is making tracks towards Smart Mobility with the launch of R-EVolution and R-EVolution EASY, the new range of electric vehicle charging units</w:t>
      </w:r>
      <w:r>
        <w:rPr>
          <w:b w:val="0"/>
          <w:i w:val="0"/>
          <w:color w:val="76777B"/>
        </w:rPr>
        <w:t>.</w:t>
      </w:r>
    </w:p>
    <w:p w:rsidR="00C4359D" w:rsidRDefault="00656CF4" w:rsidP="00D10D1B">
      <w:pPr>
        <w:pStyle w:val="ComunicatoEXPOTesto"/>
        <w:rPr>
          <w:color w:val="76777B"/>
        </w:rPr>
      </w:pPr>
      <w:r>
        <w:rPr>
          <w:color w:val="76777B"/>
        </w:rPr>
        <w:t xml:space="preserve">"Smart Mobility" is soon to become a major feature in all of our lives, definitively changing the way we move and imagine cars forever. A real revolution. Within this changing context, GEWISS has launched </w:t>
      </w:r>
      <w:r>
        <w:rPr>
          <w:b/>
          <w:color w:val="76777B"/>
        </w:rPr>
        <w:t>R-EVolution</w:t>
      </w:r>
      <w:r>
        <w:rPr>
          <w:color w:val="76777B"/>
        </w:rPr>
        <w:t xml:space="preserve"> and </w:t>
      </w:r>
      <w:r>
        <w:rPr>
          <w:b/>
          <w:color w:val="76777B"/>
        </w:rPr>
        <w:t>R-EVolution EASY</w:t>
      </w:r>
      <w:r>
        <w:rPr>
          <w:color w:val="76777B"/>
        </w:rPr>
        <w:t xml:space="preserve">, the new range of boards and outlet boxes for </w:t>
      </w:r>
      <w:r>
        <w:rPr>
          <w:b/>
          <w:color w:val="76777B"/>
        </w:rPr>
        <w:t xml:space="preserve">charging </w:t>
      </w:r>
      <w:r>
        <w:rPr>
          <w:color w:val="76777B"/>
        </w:rPr>
        <w:t xml:space="preserve">all </w:t>
      </w:r>
      <w:r>
        <w:rPr>
          <w:b/>
          <w:color w:val="76777B"/>
        </w:rPr>
        <w:t xml:space="preserve">electrical </w:t>
      </w:r>
      <w:r>
        <w:rPr>
          <w:color w:val="76777B"/>
        </w:rPr>
        <w:t xml:space="preserve">vehicles. The range of products available guarantees a safe, reliable solution suited to the current charging requirements for all types of vehicles, in line with </w:t>
      </w:r>
      <w:r>
        <w:rPr>
          <w:b/>
          <w:color w:val="76777B"/>
        </w:rPr>
        <w:t>EN 61851</w:t>
      </w:r>
      <w:r>
        <w:rPr>
          <w:color w:val="76777B"/>
        </w:rPr>
        <w:t xml:space="preserve"> regulations. </w:t>
      </w:r>
    </w:p>
    <w:p w:rsidR="009E006F" w:rsidRDefault="00374A7E" w:rsidP="00D10D1B">
      <w:pPr>
        <w:pStyle w:val="ComunicatoEXPOTesto"/>
        <w:rPr>
          <w:color w:val="76777B"/>
        </w:rPr>
      </w:pPr>
      <w:r>
        <w:rPr>
          <w:color w:val="76777B"/>
        </w:rPr>
        <w:t xml:space="preserve">There are four </w:t>
      </w:r>
      <w:r>
        <w:rPr>
          <w:b/>
          <w:color w:val="76777B"/>
        </w:rPr>
        <w:t xml:space="preserve">R-EVolution </w:t>
      </w:r>
      <w:r>
        <w:rPr>
          <w:color w:val="76777B"/>
        </w:rPr>
        <w:t xml:space="preserve">models available - </w:t>
      </w:r>
      <w:r>
        <w:rPr>
          <w:b/>
          <w:i/>
          <w:color w:val="76777B"/>
        </w:rPr>
        <w:t>Home</w:t>
      </w:r>
      <w:r>
        <w:rPr>
          <w:color w:val="76777B"/>
        </w:rPr>
        <w:t xml:space="preserve">, </w:t>
      </w:r>
      <w:r>
        <w:rPr>
          <w:b/>
          <w:i/>
          <w:color w:val="76777B"/>
        </w:rPr>
        <w:t>Parking</w:t>
      </w:r>
      <w:r>
        <w:rPr>
          <w:color w:val="76777B"/>
        </w:rPr>
        <w:t xml:space="preserve">, </w:t>
      </w:r>
      <w:r>
        <w:rPr>
          <w:b/>
          <w:i/>
          <w:color w:val="76777B"/>
        </w:rPr>
        <w:t>Parking+</w:t>
      </w:r>
      <w:r>
        <w:rPr>
          <w:color w:val="76777B"/>
        </w:rPr>
        <w:t xml:space="preserve"> and </w:t>
      </w:r>
      <w:r>
        <w:rPr>
          <w:b/>
          <w:i/>
          <w:color w:val="76777B"/>
        </w:rPr>
        <w:t>Station</w:t>
      </w:r>
      <w:r>
        <w:rPr>
          <w:i/>
          <w:color w:val="76777B"/>
        </w:rPr>
        <w:t xml:space="preserve"> – </w:t>
      </w:r>
      <w:r>
        <w:rPr>
          <w:color w:val="76777B"/>
        </w:rPr>
        <w:t>and these can be set up both in residential (private) and public spaces.</w:t>
      </w:r>
    </w:p>
    <w:p w:rsidR="00825687" w:rsidRDefault="00B54875" w:rsidP="00825687">
      <w:pPr>
        <w:pStyle w:val="ComunicatoEXPOTesto"/>
        <w:rPr>
          <w:color w:val="76777B"/>
        </w:rPr>
      </w:pPr>
      <w:r>
        <w:rPr>
          <w:b/>
          <w:color w:val="76777B"/>
        </w:rPr>
        <w:t xml:space="preserve">Private </w:t>
      </w:r>
      <w:r>
        <w:rPr>
          <w:color w:val="76777B"/>
        </w:rPr>
        <w:t xml:space="preserve">charging points can be installed in individual homes or apartment buildings with parking spaces, and are particularly suitable for </w:t>
      </w:r>
      <w:r>
        <w:rPr>
          <w:b/>
          <w:color w:val="76777B"/>
        </w:rPr>
        <w:t>extended periods of parking and recharging</w:t>
      </w:r>
      <w:r>
        <w:rPr>
          <w:color w:val="76777B"/>
        </w:rPr>
        <w:t xml:space="preserve"> - for example overnight. The nominal power of these charging points ranges from </w:t>
      </w:r>
      <w:r>
        <w:rPr>
          <w:b/>
          <w:color w:val="76777B"/>
        </w:rPr>
        <w:t xml:space="preserve">4.6 kW </w:t>
      </w:r>
      <w:r>
        <w:rPr>
          <w:color w:val="76777B"/>
        </w:rPr>
        <w:t xml:space="preserve">to </w:t>
      </w:r>
      <w:r>
        <w:rPr>
          <w:b/>
          <w:color w:val="76777B"/>
        </w:rPr>
        <w:t>7.4 kW</w:t>
      </w:r>
      <w:r>
        <w:rPr>
          <w:color w:val="76777B"/>
        </w:rPr>
        <w:t>, covering the average daily distances travelled by most cars.</w:t>
      </w:r>
    </w:p>
    <w:p w:rsidR="00727A6F" w:rsidRDefault="00502842" w:rsidP="00727A6F">
      <w:pPr>
        <w:pStyle w:val="ComunicatoEXPOTesto"/>
        <w:rPr>
          <w:color w:val="76777B"/>
        </w:rPr>
      </w:pPr>
      <w:r>
        <w:rPr>
          <w:color w:val="76777B"/>
        </w:rPr>
        <w:t xml:space="preserve">Meanwhile, </w:t>
      </w:r>
      <w:r>
        <w:rPr>
          <w:b/>
          <w:color w:val="76777B"/>
        </w:rPr>
        <w:t>public</w:t>
      </w:r>
      <w:r>
        <w:rPr>
          <w:color w:val="76777B"/>
        </w:rPr>
        <w:t xml:space="preserve"> spaces include all installations where access to the charging point is not limited to just a few individuals, but rather is available for use by anyone who wishes to charge their vehicle. Often, the charging period for vehicles </w:t>
      </w:r>
      <w:r>
        <w:rPr>
          <w:b/>
          <w:color w:val="76777B"/>
        </w:rPr>
        <w:t xml:space="preserve">parked </w:t>
      </w:r>
      <w:r>
        <w:rPr>
          <w:color w:val="76777B"/>
        </w:rPr>
        <w:t xml:space="preserve">in these spaces is </w:t>
      </w:r>
      <w:r>
        <w:rPr>
          <w:b/>
          <w:color w:val="76777B"/>
        </w:rPr>
        <w:t>short-medium</w:t>
      </w:r>
      <w:r>
        <w:rPr>
          <w:color w:val="76777B"/>
        </w:rPr>
        <w:t xml:space="preserve">, and as such, the nominal power of the outlet boxes in these locations can be anything up </w:t>
      </w:r>
      <w:r>
        <w:rPr>
          <w:b/>
          <w:color w:val="76777B"/>
        </w:rPr>
        <w:t>to 22 kW</w:t>
      </w:r>
      <w:r>
        <w:rPr>
          <w:color w:val="76777B"/>
        </w:rPr>
        <w:t xml:space="preserve">, enabling a full vehicle charge to be completed in an hour or a little more. In structural terms, the charging solutions installed in public spaces are similar to those that offer less power. They use the same type of socket-outlet, and are compatible with vehicles that are usually charged at lower power levels. </w:t>
      </w:r>
    </w:p>
    <w:p w:rsidR="00727A6F" w:rsidRPr="00727A6F" w:rsidRDefault="00727A6F" w:rsidP="00727A6F">
      <w:pPr>
        <w:pStyle w:val="ComunicatoEXPOTesto"/>
        <w:rPr>
          <w:color w:val="76777B"/>
        </w:rPr>
      </w:pPr>
      <w:r>
        <w:rPr>
          <w:color w:val="76777B"/>
        </w:rPr>
        <w:t xml:space="preserve">The </w:t>
      </w:r>
      <w:r>
        <w:rPr>
          <w:b/>
          <w:color w:val="76777B"/>
        </w:rPr>
        <w:t xml:space="preserve">R-EVolution EASY </w:t>
      </w:r>
      <w:r>
        <w:rPr>
          <w:color w:val="76777B"/>
        </w:rPr>
        <w:t>range has been designed for basic applications and needs, where simple EV charging functions are required. Made from green thermoplastic material, all versions of the EASY are also resistant to UV rays, in line with EN 62208.</w:t>
      </w:r>
    </w:p>
    <w:p w:rsidR="00825687" w:rsidRPr="00825687" w:rsidRDefault="00156DD2" w:rsidP="00727A6F">
      <w:pPr>
        <w:pStyle w:val="ComunicatoEXPOTesto"/>
        <w:rPr>
          <w:color w:val="76777B"/>
        </w:rPr>
      </w:pPr>
      <w:r>
        <w:rPr>
          <w:color w:val="76777B"/>
          <w:lang w:val="it-IT"/>
        </w:rPr>
        <w:drawing>
          <wp:anchor distT="0" distB="0" distL="114300" distR="114300" simplePos="0" relativeHeight="251660288" behindDoc="0" locked="0" layoutInCell="1" allowOverlap="1" wp14:anchorId="6A2EC498" wp14:editId="1F38E565">
            <wp:simplePos x="0" y="0"/>
            <wp:positionH relativeFrom="margin">
              <wp:align>right</wp:align>
            </wp:positionH>
            <wp:positionV relativeFrom="margin">
              <wp:align>bottom</wp:align>
            </wp:positionV>
            <wp:extent cx="2055495" cy="20554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2016\02 - Media Relations\02 - Italia\08 - Case History - Referenze\Lighting\LediBerg\R-EVolution\R-EV Statio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55495" cy="205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76777B"/>
        </w:rPr>
        <w:t xml:space="preserve">The R-Evolution EASY range is composed of three different models: </w:t>
      </w:r>
      <w:r>
        <w:rPr>
          <w:b/>
          <w:i/>
          <w:color w:val="76777B"/>
        </w:rPr>
        <w:t>Easy Home</w:t>
      </w:r>
      <w:r>
        <w:rPr>
          <w:color w:val="76777B"/>
        </w:rPr>
        <w:t xml:space="preserve"> are MODE 2 and MODE 3 surface-mounting columns, available either with a mobile charging connector or with a Type 2 fixed socket-outlet; </w:t>
      </w:r>
      <w:r>
        <w:rPr>
          <w:b/>
          <w:i/>
          <w:color w:val="76777B"/>
        </w:rPr>
        <w:t>Easy Parking</w:t>
      </w:r>
      <w:r>
        <w:rPr>
          <w:color w:val="76777B"/>
        </w:rPr>
        <w:t xml:space="preserve"> are MODE 3 surface-mounting charging stations fitted with Type 2 fixed socket-outlet chargers, ranging from 7.4 kW to 22 kW, enabling any vehicle to be charged in just over an hour; </w:t>
      </w:r>
      <w:r>
        <w:rPr>
          <w:b/>
          <w:i/>
          <w:color w:val="76777B"/>
        </w:rPr>
        <w:t>QMC E-bike</w:t>
      </w:r>
      <w:r>
        <w:rPr>
          <w:color w:val="76777B"/>
        </w:rPr>
        <w:t xml:space="preserve"> solutions are suitable for charging all types of electric bicycle;</w:t>
      </w:r>
    </w:p>
    <w:p w:rsidR="00587FBD" w:rsidRPr="00587FBD" w:rsidRDefault="004654E8" w:rsidP="00587FBD">
      <w:pPr>
        <w:pStyle w:val="ComunicatoEXPOTesto"/>
        <w:rPr>
          <w:color w:val="76777B"/>
        </w:rPr>
      </w:pPr>
      <w:r>
        <w:rPr>
          <w:color w:val="76777B"/>
        </w:rPr>
        <w:t xml:space="preserve">Thanks to the wide range of services offered, GEWISS is an </w:t>
      </w:r>
      <w:r>
        <w:rPr>
          <w:b/>
          <w:color w:val="76777B"/>
        </w:rPr>
        <w:t xml:space="preserve">international player </w:t>
      </w:r>
      <w:r>
        <w:rPr>
          <w:color w:val="76777B"/>
        </w:rPr>
        <w:t xml:space="preserve">in the production of advanced, secure and reliable electrical systems. The company's philosophy is based on the principle of "development as a constant feature of </w:t>
      </w:r>
      <w:r>
        <w:rPr>
          <w:color w:val="76777B"/>
        </w:rPr>
        <w:lastRenderedPageBreak/>
        <w:t xml:space="preserve">management", a </w:t>
      </w:r>
      <w:r>
        <w:rPr>
          <w:color w:val="76777B"/>
          <w:lang w:val="it-IT"/>
        </w:rPr>
        <w:drawing>
          <wp:anchor distT="0" distB="0" distL="114300" distR="114300" simplePos="0" relativeHeight="251659264" behindDoc="0" locked="0" layoutInCell="1" allowOverlap="1" wp14:anchorId="353AB3CF" wp14:editId="2810EF2E">
            <wp:simplePos x="0" y="0"/>
            <wp:positionH relativeFrom="margin">
              <wp:align>left</wp:align>
            </wp:positionH>
            <wp:positionV relativeFrom="margin">
              <wp:align>top</wp:align>
            </wp:positionV>
            <wp:extent cx="1218565" cy="2597150"/>
            <wp:effectExtent l="0" t="0" r="635" b="0"/>
            <wp:wrapSquare wrapText="bothSides"/>
            <wp:docPr id="2" name="Immagine 2" descr="H:\2016\02 - Media Relations\02 - Italia\08 - Case History - Referenze\Lighting\LediBerg\R-EVolution\R-EV Pa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16\02 - Media Relations\02 - Italia\08 - Case History - Referenze\Lighting\LediBerg\R-EVolution\R-EV Parkin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774" r="27268"/>
                    <a:stretch/>
                  </pic:blipFill>
                  <pic:spPr bwMode="auto">
                    <a:xfrm>
                      <a:off x="0" y="0"/>
                      <a:ext cx="1218565" cy="2597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76777B"/>
        </w:rPr>
        <w:t xml:space="preserve">vocation that also translates into the ability to imagine the </w:t>
      </w:r>
      <w:r>
        <w:rPr>
          <w:b/>
          <w:color w:val="76777B"/>
        </w:rPr>
        <w:t>future</w:t>
      </w:r>
      <w:r>
        <w:rPr>
          <w:color w:val="76777B"/>
        </w:rPr>
        <w:t xml:space="preserve">. A future that today, in the field of mobility, surely lies in </w:t>
      </w:r>
      <w:r>
        <w:rPr>
          <w:b/>
          <w:color w:val="76777B"/>
        </w:rPr>
        <w:t>electricity</w:t>
      </w:r>
      <w:r>
        <w:rPr>
          <w:color w:val="76777B"/>
        </w:rPr>
        <w:t>.</w:t>
      </w:r>
    </w:p>
    <w:p w:rsidR="00BB1EFF" w:rsidRPr="00241C3B" w:rsidRDefault="00D6769B">
      <w:pPr>
        <w:pStyle w:val="ComunicatoEXPOTesto"/>
        <w:rPr>
          <w:color w:val="76777B"/>
        </w:rPr>
      </w:pPr>
      <w:r>
        <w:rPr>
          <w:color w:val="76777B"/>
        </w:rPr>
        <w:t xml:space="preserve">This is precisely why GEWISS considers </w:t>
      </w:r>
      <w:r>
        <w:rPr>
          <w:b/>
          <w:color w:val="76777B"/>
        </w:rPr>
        <w:t xml:space="preserve">electric cars </w:t>
      </w:r>
      <w:r>
        <w:rPr>
          <w:color w:val="76777B"/>
        </w:rPr>
        <w:t xml:space="preserve">to be the best new means of getting around, combining individual requirements with the global need to safeguard our </w:t>
      </w:r>
      <w:r>
        <w:rPr>
          <w:b/>
          <w:color w:val="76777B"/>
        </w:rPr>
        <w:t xml:space="preserve">environment </w:t>
      </w:r>
      <w:r>
        <w:rPr>
          <w:color w:val="76777B"/>
        </w:rPr>
        <w:t xml:space="preserve">and the resources available to us. For a more functional and </w:t>
      </w:r>
      <w:r>
        <w:rPr>
          <w:b/>
          <w:color w:val="76777B"/>
        </w:rPr>
        <w:t xml:space="preserve">environmentally-friendly </w:t>
      </w:r>
      <w:r>
        <w:rPr>
          <w:color w:val="76777B"/>
        </w:rPr>
        <w:t xml:space="preserve">approach to developments in mobility. Or in other words - a </w:t>
      </w:r>
      <w:r>
        <w:rPr>
          <w:b/>
          <w:color w:val="76777B"/>
        </w:rPr>
        <w:t>Smart</w:t>
      </w:r>
      <w:r>
        <w:rPr>
          <w:color w:val="76777B"/>
        </w:rPr>
        <w:t xml:space="preserve"> approach.</w:t>
      </w:r>
    </w:p>
    <w:sectPr w:rsidR="00BB1EFF" w:rsidRPr="00241C3B" w:rsidSect="00AC67B4">
      <w:headerReference w:type="even" r:id="rId11"/>
      <w:headerReference w:type="default" r:id="rId12"/>
      <w:footerReference w:type="even" r:id="rId13"/>
      <w:footerReference w:type="default" r:id="rId14"/>
      <w:headerReference w:type="first" r:id="rId15"/>
      <w:footerReference w:type="first" r:id="rId16"/>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74" w:rsidRDefault="00346674" w:rsidP="006F1F2E">
      <w:r>
        <w:separator/>
      </w:r>
    </w:p>
  </w:endnote>
  <w:endnote w:type="continuationSeparator" w:id="0">
    <w:p w:rsidR="00346674" w:rsidRDefault="00346674"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120" w:rsidRDefault="00E7312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1B" w:rsidRPr="00A3444C" w:rsidRDefault="00E73120" w:rsidP="00442FE0">
    <w:pPr>
      <w:pStyle w:val="Pidipagina"/>
      <w:ind w:left="3261"/>
      <w:rPr>
        <w:rFonts w:ascii="Segoe UI" w:hAnsi="Segoe UI" w:cs="Segoe UI"/>
        <w:spacing w:val="20"/>
        <w:sz w:val="16"/>
        <w:szCs w:val="16"/>
      </w:rPr>
    </w:pP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3352A72B" wp14:editId="04E3EAC6">
          <wp:simplePos x="0" y="0"/>
          <wp:positionH relativeFrom="margin">
            <wp:posOffset>5473700</wp:posOffset>
          </wp:positionH>
          <wp:positionV relativeFrom="page">
            <wp:posOffset>9819640</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52096" behindDoc="0" locked="0" layoutInCell="1" allowOverlap="1" wp14:anchorId="09D5BACF" wp14:editId="676C4B6C">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D1B" w:rsidRPr="00D37198" w:rsidRDefault="00D10D1B"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D10D1B" w:rsidRPr="00766F69" w:rsidRDefault="00D10D1B"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2" w:history="1">
                            <w:r>
                              <w:rPr>
                                <w:rStyle w:val="Collegamentoipertestuale"/>
                                <w:rFonts w:ascii="Segoe UI Light" w:hAnsi="Segoe UI Light" w:cs="Segoe UI Semilight"/>
                                <w:color w:val="76777B"/>
                                <w:sz w:val="18"/>
                                <w:u w:val="none"/>
                              </w:rPr>
                              <w:t>www.gewiss.com</w:t>
                            </w:r>
                          </w:hyperlink>
                        </w:p>
                        <w:p w:rsidR="00D10D1B" w:rsidRPr="00766F69" w:rsidRDefault="00D10D1B"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3"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D5BACF"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D10D1B" w:rsidRPr="00D37198" w:rsidRDefault="00D10D1B"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D10D1B" w:rsidRPr="00766F69" w:rsidRDefault="00D10D1B"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4" w:history="1">
                      <w:r>
                        <w:rPr>
                          <w:rStyle w:val="Collegamentoipertestuale"/>
                          <w:rFonts w:ascii="Segoe UI Light" w:hAnsi="Segoe UI Light" w:cs="Segoe UI Semilight"/>
                          <w:color w:val="76777B"/>
                          <w:sz w:val="18"/>
                          <w:u w:val="none"/>
                        </w:rPr>
                        <w:t>www.gewiss.com</w:t>
                      </w:r>
                    </w:hyperlink>
                  </w:p>
                  <w:p w:rsidR="00D10D1B" w:rsidRPr="00766F69" w:rsidRDefault="00D10D1B"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5"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40965F3A" wp14:editId="63D00A9C">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3F33FB02" wp14:editId="48314AA0">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2608C03B" wp14:editId="38C364AF">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3AFA71D4" wp14:editId="34EDAD34">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D1A7FE8" wp14:editId="1CA99CD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31F35287" wp14:editId="5EB1DE22">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120" w:rsidRDefault="00E731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74" w:rsidRDefault="00346674" w:rsidP="006F1F2E">
      <w:r>
        <w:separator/>
      </w:r>
    </w:p>
  </w:footnote>
  <w:footnote w:type="continuationSeparator" w:id="0">
    <w:p w:rsidR="00346674" w:rsidRDefault="00346674"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120" w:rsidRDefault="00E7312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1B" w:rsidRDefault="00D10D1B"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D1B" w:rsidRPr="003C2B09" w:rsidRDefault="00D10D1B"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D10D1B" w:rsidRPr="003C2B09" w:rsidRDefault="00D10D1B"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D10D1B" w:rsidRDefault="00D10D1B" w:rsidP="006F1F2E">
    <w:pPr>
      <w:pStyle w:val="Intestazione"/>
    </w:pPr>
  </w:p>
  <w:p w:rsidR="00D10D1B" w:rsidRDefault="00D10D1B" w:rsidP="006F1F2E">
    <w:pPr>
      <w:pStyle w:val="Intestazione"/>
    </w:pPr>
  </w:p>
  <w:p w:rsidR="00D10D1B" w:rsidRPr="00447B58" w:rsidRDefault="00D10D1B"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D1B" w:rsidRPr="003A3D30" w:rsidRDefault="00D10D1B"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D10D1B" w:rsidRPr="003A3D30" w:rsidRDefault="00D10D1B"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120" w:rsidRDefault="00E7312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3D0128"/>
    <w:multiLevelType w:val="hybridMultilevel"/>
    <w:tmpl w:val="15DA8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EE1FE6"/>
    <w:multiLevelType w:val="hybridMultilevel"/>
    <w:tmpl w:val="C0CAA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it-IT"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B4"/>
    <w:rsid w:val="00003ED4"/>
    <w:rsid w:val="00030057"/>
    <w:rsid w:val="00034706"/>
    <w:rsid w:val="00042E1A"/>
    <w:rsid w:val="000447C7"/>
    <w:rsid w:val="0004578E"/>
    <w:rsid w:val="00061D44"/>
    <w:rsid w:val="0007035A"/>
    <w:rsid w:val="00072371"/>
    <w:rsid w:val="00072EF6"/>
    <w:rsid w:val="000834C1"/>
    <w:rsid w:val="00091260"/>
    <w:rsid w:val="0009270B"/>
    <w:rsid w:val="00092AE1"/>
    <w:rsid w:val="00095085"/>
    <w:rsid w:val="000B169D"/>
    <w:rsid w:val="000B32A1"/>
    <w:rsid w:val="000B6331"/>
    <w:rsid w:val="000C22A8"/>
    <w:rsid w:val="000E3A5C"/>
    <w:rsid w:val="000E5436"/>
    <w:rsid w:val="000F3460"/>
    <w:rsid w:val="001051BB"/>
    <w:rsid w:val="001116BA"/>
    <w:rsid w:val="00112B9C"/>
    <w:rsid w:val="0011470B"/>
    <w:rsid w:val="00124D86"/>
    <w:rsid w:val="00126BEE"/>
    <w:rsid w:val="00144F0F"/>
    <w:rsid w:val="001553A2"/>
    <w:rsid w:val="00156DD2"/>
    <w:rsid w:val="001577CA"/>
    <w:rsid w:val="00165B5E"/>
    <w:rsid w:val="00166306"/>
    <w:rsid w:val="00171D98"/>
    <w:rsid w:val="00175C81"/>
    <w:rsid w:val="001803F6"/>
    <w:rsid w:val="001A1151"/>
    <w:rsid w:val="001A7841"/>
    <w:rsid w:val="001B4207"/>
    <w:rsid w:val="001C1DF0"/>
    <w:rsid w:val="001F5DA2"/>
    <w:rsid w:val="001F6AA5"/>
    <w:rsid w:val="00215C92"/>
    <w:rsid w:val="00220A0F"/>
    <w:rsid w:val="00241098"/>
    <w:rsid w:val="00241C3B"/>
    <w:rsid w:val="00243779"/>
    <w:rsid w:val="002638AC"/>
    <w:rsid w:val="00272F7A"/>
    <w:rsid w:val="0027392F"/>
    <w:rsid w:val="002767F0"/>
    <w:rsid w:val="002822F3"/>
    <w:rsid w:val="002839E1"/>
    <w:rsid w:val="0029433E"/>
    <w:rsid w:val="002A427E"/>
    <w:rsid w:val="002C037E"/>
    <w:rsid w:val="002C27CE"/>
    <w:rsid w:val="002C53FE"/>
    <w:rsid w:val="002D13A6"/>
    <w:rsid w:val="002D3768"/>
    <w:rsid w:val="002D3E40"/>
    <w:rsid w:val="002F0ED2"/>
    <w:rsid w:val="002F4137"/>
    <w:rsid w:val="002F5CF7"/>
    <w:rsid w:val="002F6F58"/>
    <w:rsid w:val="00300E0D"/>
    <w:rsid w:val="00302FDF"/>
    <w:rsid w:val="00306B2F"/>
    <w:rsid w:val="00307E6B"/>
    <w:rsid w:val="00313946"/>
    <w:rsid w:val="00325719"/>
    <w:rsid w:val="00330D5E"/>
    <w:rsid w:val="003362E6"/>
    <w:rsid w:val="003429FE"/>
    <w:rsid w:val="00346674"/>
    <w:rsid w:val="00363D27"/>
    <w:rsid w:val="00367216"/>
    <w:rsid w:val="00374A7E"/>
    <w:rsid w:val="00397158"/>
    <w:rsid w:val="003A3D30"/>
    <w:rsid w:val="003A43B5"/>
    <w:rsid w:val="003A4951"/>
    <w:rsid w:val="003A4A30"/>
    <w:rsid w:val="003B6B71"/>
    <w:rsid w:val="003C2B09"/>
    <w:rsid w:val="003F4E36"/>
    <w:rsid w:val="003F6039"/>
    <w:rsid w:val="00431D3B"/>
    <w:rsid w:val="0043206E"/>
    <w:rsid w:val="00433531"/>
    <w:rsid w:val="0043463B"/>
    <w:rsid w:val="00442FE0"/>
    <w:rsid w:val="00447B58"/>
    <w:rsid w:val="004547E6"/>
    <w:rsid w:val="0045733B"/>
    <w:rsid w:val="004654E8"/>
    <w:rsid w:val="00466BDB"/>
    <w:rsid w:val="004776DE"/>
    <w:rsid w:val="0048354B"/>
    <w:rsid w:val="00483BB5"/>
    <w:rsid w:val="00483CA0"/>
    <w:rsid w:val="004840C7"/>
    <w:rsid w:val="004855E1"/>
    <w:rsid w:val="004C13D4"/>
    <w:rsid w:val="004D5ED7"/>
    <w:rsid w:val="004E4932"/>
    <w:rsid w:val="00501043"/>
    <w:rsid w:val="00502842"/>
    <w:rsid w:val="00512FBE"/>
    <w:rsid w:val="005165F5"/>
    <w:rsid w:val="00522F21"/>
    <w:rsid w:val="00534AA7"/>
    <w:rsid w:val="00535868"/>
    <w:rsid w:val="00567D13"/>
    <w:rsid w:val="00572365"/>
    <w:rsid w:val="00587FBD"/>
    <w:rsid w:val="00591572"/>
    <w:rsid w:val="00591687"/>
    <w:rsid w:val="00595705"/>
    <w:rsid w:val="005A717D"/>
    <w:rsid w:val="005A78B2"/>
    <w:rsid w:val="005B7AF7"/>
    <w:rsid w:val="005C48B2"/>
    <w:rsid w:val="005D2B0A"/>
    <w:rsid w:val="00606042"/>
    <w:rsid w:val="0061517C"/>
    <w:rsid w:val="00627B20"/>
    <w:rsid w:val="0063712E"/>
    <w:rsid w:val="00640817"/>
    <w:rsid w:val="00641327"/>
    <w:rsid w:val="0065149F"/>
    <w:rsid w:val="00656CF4"/>
    <w:rsid w:val="0066349C"/>
    <w:rsid w:val="00664DA8"/>
    <w:rsid w:val="00666A2E"/>
    <w:rsid w:val="00676D9D"/>
    <w:rsid w:val="00683AE1"/>
    <w:rsid w:val="006903EE"/>
    <w:rsid w:val="00690BF8"/>
    <w:rsid w:val="006A21D5"/>
    <w:rsid w:val="006D6813"/>
    <w:rsid w:val="006E191C"/>
    <w:rsid w:val="006E43C8"/>
    <w:rsid w:val="006E4583"/>
    <w:rsid w:val="006E4CFB"/>
    <w:rsid w:val="006E52E7"/>
    <w:rsid w:val="006F17B2"/>
    <w:rsid w:val="006F1F2E"/>
    <w:rsid w:val="006F6E20"/>
    <w:rsid w:val="0070470B"/>
    <w:rsid w:val="00706992"/>
    <w:rsid w:val="00714493"/>
    <w:rsid w:val="00714826"/>
    <w:rsid w:val="00717992"/>
    <w:rsid w:val="00717AA7"/>
    <w:rsid w:val="00724194"/>
    <w:rsid w:val="00724F59"/>
    <w:rsid w:val="0072516F"/>
    <w:rsid w:val="00727A6F"/>
    <w:rsid w:val="00760061"/>
    <w:rsid w:val="00762C11"/>
    <w:rsid w:val="00766F69"/>
    <w:rsid w:val="007759B2"/>
    <w:rsid w:val="00792AD6"/>
    <w:rsid w:val="007A3F9C"/>
    <w:rsid w:val="007B1075"/>
    <w:rsid w:val="007D7396"/>
    <w:rsid w:val="008113DE"/>
    <w:rsid w:val="00825687"/>
    <w:rsid w:val="0082606D"/>
    <w:rsid w:val="0083623D"/>
    <w:rsid w:val="0084094C"/>
    <w:rsid w:val="008454B5"/>
    <w:rsid w:val="008473B4"/>
    <w:rsid w:val="00862C7F"/>
    <w:rsid w:val="00864C12"/>
    <w:rsid w:val="008705B0"/>
    <w:rsid w:val="00874FD6"/>
    <w:rsid w:val="00896339"/>
    <w:rsid w:val="008B26DD"/>
    <w:rsid w:val="008D2EF8"/>
    <w:rsid w:val="008D6513"/>
    <w:rsid w:val="008E1970"/>
    <w:rsid w:val="009076B7"/>
    <w:rsid w:val="00910D02"/>
    <w:rsid w:val="00923593"/>
    <w:rsid w:val="00924A05"/>
    <w:rsid w:val="00932E66"/>
    <w:rsid w:val="009426CA"/>
    <w:rsid w:val="00955859"/>
    <w:rsid w:val="00987069"/>
    <w:rsid w:val="00995EF3"/>
    <w:rsid w:val="009964F2"/>
    <w:rsid w:val="009977B5"/>
    <w:rsid w:val="009A2291"/>
    <w:rsid w:val="009B1899"/>
    <w:rsid w:val="009B65CE"/>
    <w:rsid w:val="009C4054"/>
    <w:rsid w:val="009D6844"/>
    <w:rsid w:val="009E006F"/>
    <w:rsid w:val="009E2E95"/>
    <w:rsid w:val="009F0998"/>
    <w:rsid w:val="009F563C"/>
    <w:rsid w:val="009F58B8"/>
    <w:rsid w:val="00A14C87"/>
    <w:rsid w:val="00A17D25"/>
    <w:rsid w:val="00A252A1"/>
    <w:rsid w:val="00A329F7"/>
    <w:rsid w:val="00A3444C"/>
    <w:rsid w:val="00A477C7"/>
    <w:rsid w:val="00A60127"/>
    <w:rsid w:val="00A60834"/>
    <w:rsid w:val="00A75C7A"/>
    <w:rsid w:val="00A77836"/>
    <w:rsid w:val="00A911EA"/>
    <w:rsid w:val="00A94EFC"/>
    <w:rsid w:val="00AA3DFB"/>
    <w:rsid w:val="00AB1F55"/>
    <w:rsid w:val="00AB67A1"/>
    <w:rsid w:val="00AC67B4"/>
    <w:rsid w:val="00AD6278"/>
    <w:rsid w:val="00AE43DD"/>
    <w:rsid w:val="00AF01AD"/>
    <w:rsid w:val="00AF0E4B"/>
    <w:rsid w:val="00AF40C1"/>
    <w:rsid w:val="00AF4EC6"/>
    <w:rsid w:val="00B041E9"/>
    <w:rsid w:val="00B15046"/>
    <w:rsid w:val="00B307F5"/>
    <w:rsid w:val="00B542C1"/>
    <w:rsid w:val="00B54875"/>
    <w:rsid w:val="00B56FE7"/>
    <w:rsid w:val="00B57CF3"/>
    <w:rsid w:val="00B66A0C"/>
    <w:rsid w:val="00B70FA8"/>
    <w:rsid w:val="00B77343"/>
    <w:rsid w:val="00B84F0A"/>
    <w:rsid w:val="00BA33B0"/>
    <w:rsid w:val="00BB1EFF"/>
    <w:rsid w:val="00BB4A3B"/>
    <w:rsid w:val="00C02544"/>
    <w:rsid w:val="00C059C5"/>
    <w:rsid w:val="00C13BAA"/>
    <w:rsid w:val="00C151F5"/>
    <w:rsid w:val="00C271CC"/>
    <w:rsid w:val="00C3337E"/>
    <w:rsid w:val="00C4359D"/>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10D1B"/>
    <w:rsid w:val="00D13E86"/>
    <w:rsid w:val="00D37198"/>
    <w:rsid w:val="00D41A4F"/>
    <w:rsid w:val="00D50DAE"/>
    <w:rsid w:val="00D514DC"/>
    <w:rsid w:val="00D56346"/>
    <w:rsid w:val="00D57184"/>
    <w:rsid w:val="00D6769B"/>
    <w:rsid w:val="00D7321C"/>
    <w:rsid w:val="00DB0E6F"/>
    <w:rsid w:val="00DC31CA"/>
    <w:rsid w:val="00DD0902"/>
    <w:rsid w:val="00DD0CF1"/>
    <w:rsid w:val="00DD19C7"/>
    <w:rsid w:val="00DF74D4"/>
    <w:rsid w:val="00E0683C"/>
    <w:rsid w:val="00E10D44"/>
    <w:rsid w:val="00E21F37"/>
    <w:rsid w:val="00E30D33"/>
    <w:rsid w:val="00E31A03"/>
    <w:rsid w:val="00E35D03"/>
    <w:rsid w:val="00E52EAA"/>
    <w:rsid w:val="00E662A6"/>
    <w:rsid w:val="00E73120"/>
    <w:rsid w:val="00E73D19"/>
    <w:rsid w:val="00E916C9"/>
    <w:rsid w:val="00E9524B"/>
    <w:rsid w:val="00EA4BC4"/>
    <w:rsid w:val="00EA53C4"/>
    <w:rsid w:val="00EA5910"/>
    <w:rsid w:val="00EA7EAB"/>
    <w:rsid w:val="00EB058B"/>
    <w:rsid w:val="00EB3162"/>
    <w:rsid w:val="00ED0B18"/>
    <w:rsid w:val="00ED3073"/>
    <w:rsid w:val="00ED3663"/>
    <w:rsid w:val="00ED7993"/>
    <w:rsid w:val="00EF0AB7"/>
    <w:rsid w:val="00EF51D7"/>
    <w:rsid w:val="00F2237D"/>
    <w:rsid w:val="00F37CD1"/>
    <w:rsid w:val="00F47B17"/>
    <w:rsid w:val="00F72508"/>
    <w:rsid w:val="00F84BDA"/>
    <w:rsid w:val="00F94F48"/>
    <w:rsid w:val="00F951F9"/>
    <w:rsid w:val="00FB329A"/>
    <w:rsid w:val="00FC371D"/>
    <w:rsid w:val="00FD1703"/>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3CF2737-DF31-4F0D-BEF7-69EB8AE1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67B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A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807113">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9.png"/><Relationship Id="rId3" Type="http://schemas.openxmlformats.org/officeDocument/2006/relationships/hyperlink" Target="mailto:pressrelations@gewiss.com" TargetMode="External"/><Relationship Id="rId7" Type="http://schemas.openxmlformats.org/officeDocument/2006/relationships/image" Target="media/image6.png"/><Relationship Id="rId12" Type="http://schemas.openxmlformats.org/officeDocument/2006/relationships/hyperlink" Target="https://plus.google.com/+gewiss/posts" TargetMode="External"/><Relationship Id="rId17" Type="http://schemas.openxmlformats.org/officeDocument/2006/relationships/image" Target="media/image11.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5.png"/><Relationship Id="rId6" Type="http://schemas.openxmlformats.org/officeDocument/2006/relationships/hyperlink" Target="https://instagram.com/gewissgroup/" TargetMode="External"/><Relationship Id="rId11" Type="http://schemas.openxmlformats.org/officeDocument/2006/relationships/image" Target="media/image8.png"/><Relationship Id="rId5" Type="http://schemas.openxmlformats.org/officeDocument/2006/relationships/hyperlink" Target="mailto:pressrelations@gewiss.com" TargetMode="External"/><Relationship Id="rId15" Type="http://schemas.openxmlformats.org/officeDocument/2006/relationships/image" Target="media/image10.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7.png"/><Relationship Id="rId14" Type="http://schemas.openxmlformats.org/officeDocument/2006/relationships/hyperlink" Target="https://twitter.com/GewissGrou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6602AA2C-107E-4878-A702-1E1CE127AB7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693</TotalTime>
  <Pages>2</Pages>
  <Words>501</Words>
  <Characters>2861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25</cp:revision>
  <cp:lastPrinted>2015-10-27T13:11:00Z</cp:lastPrinted>
  <dcterms:created xsi:type="dcterms:W3CDTF">2016-05-30T08:47:00Z</dcterms:created>
  <dcterms:modified xsi:type="dcterms:W3CDTF">2017-11-20T10:14:00Z</dcterms:modified>
</cp:coreProperties>
</file>