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4466EA" w:rsidRDefault="001728EE" w:rsidP="00166306">
      <w:pPr>
        <w:pStyle w:val="ComunicatoEXPOData"/>
        <w:rPr>
          <w:smallCaps/>
          <w:lang w:val="en-US"/>
        </w:rPr>
      </w:pPr>
      <w:r>
        <w:rPr>
          <w:lang w:val="en-US"/>
        </w:rPr>
        <w:t>November 2016</w:t>
      </w:r>
      <w:bookmarkStart w:id="0" w:name="_GoBack"/>
      <w:bookmarkEnd w:id="0"/>
    </w:p>
    <w:p w:rsidR="00DD0902" w:rsidRPr="004466EA" w:rsidRDefault="004466EA" w:rsidP="00DD0902">
      <w:pPr>
        <w:pStyle w:val="ComunicatoEXPOTitolo"/>
        <w:rPr>
          <w:color w:val="76777B"/>
          <w:lang w:val="en-US"/>
        </w:rPr>
      </w:pPr>
      <w:r w:rsidRPr="004466EA">
        <w:rPr>
          <w:color w:val="76777B"/>
          <w:lang w:val="en-US"/>
        </w:rPr>
        <w:t>THE 44CE RANGE, GREAT SOLUTIONS FOR SYSTEMS</w:t>
      </w:r>
    </w:p>
    <w:p w:rsidR="00DD0902" w:rsidRPr="004466EA" w:rsidRDefault="004466EA" w:rsidP="00DD0902">
      <w:pPr>
        <w:pStyle w:val="ComunicatoEXPOSottotitolo"/>
        <w:rPr>
          <w:color w:val="76777B"/>
          <w:lang w:val="en-US"/>
        </w:rPr>
      </w:pPr>
      <w:r w:rsidRPr="004466EA">
        <w:rPr>
          <w:color w:val="76777B"/>
          <w:lang w:val="en-US"/>
        </w:rPr>
        <w:t>GEWISS presents its new junction boxes with high capacity back-mounting box for the wiring requirements of sophisticated electrical systems.</w:t>
      </w:r>
    </w:p>
    <w:p w:rsidR="004466EA" w:rsidRPr="004466EA" w:rsidRDefault="00EA45BB" w:rsidP="004466EA">
      <w:pPr>
        <w:pStyle w:val="ComunicatoEXPOTesto"/>
        <w:rPr>
          <w:color w:val="76777B"/>
          <w:lang w:val="en-US"/>
        </w:rPr>
      </w:pPr>
      <w:r w:rsidRPr="00617C03">
        <w:rPr>
          <w:rFonts w:cs="Times New Roman"/>
          <w:color w:val="002C5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3B4748" wp14:editId="7E2A972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514725" cy="2076450"/>
            <wp:effectExtent l="0" t="0" r="9525" b="0"/>
            <wp:wrapSquare wrapText="bothSides"/>
            <wp:docPr id="1" name="Immagine 0" descr="Energy_44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Energy_44CE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66EA" w:rsidRPr="004466EA">
        <w:rPr>
          <w:color w:val="76777B"/>
          <w:lang w:val="en-US"/>
        </w:rPr>
        <w:t xml:space="preserve">GEWISS has produced the new 44 CE range of boxes with high capacity back-mounting box designed to meet market trends that call for </w:t>
      </w:r>
      <w:r w:rsidR="004466EA" w:rsidRPr="004466EA">
        <w:rPr>
          <w:b/>
          <w:color w:val="76777B"/>
          <w:lang w:val="en-US"/>
        </w:rPr>
        <w:t>greater space for wiring, because of the high level of electrification of new systems</w:t>
      </w:r>
      <w:r w:rsidR="004466EA" w:rsidRPr="004466EA">
        <w:rPr>
          <w:color w:val="76777B"/>
          <w:lang w:val="en-US"/>
        </w:rPr>
        <w:t>; the large number of electric lines requires bigger diameter conduits and capacious junction boxes.</w:t>
      </w:r>
      <w:r w:rsidR="004466EA" w:rsidRPr="004466EA">
        <w:rPr>
          <w:rFonts w:cs="Times New Roman"/>
          <w:color w:val="76777B"/>
          <w:sz w:val="24"/>
          <w:szCs w:val="24"/>
          <w:lang w:val="en-US"/>
        </w:rPr>
        <w:t xml:space="preserve"> </w:t>
      </w:r>
    </w:p>
    <w:p w:rsidR="004466EA" w:rsidRPr="004466EA" w:rsidRDefault="004466EA" w:rsidP="004466EA">
      <w:pPr>
        <w:pStyle w:val="ComunicatoEXPOTesto"/>
        <w:rPr>
          <w:color w:val="76777B"/>
          <w:lang w:val="en-US"/>
        </w:rPr>
      </w:pPr>
      <w:r w:rsidRPr="004466EA">
        <w:rPr>
          <w:color w:val="76777B"/>
          <w:lang w:val="en-US"/>
        </w:rPr>
        <w:t xml:space="preserve">These specific characteristics have steered the design and development of a new range of boxes, with each detail conceived to </w:t>
      </w:r>
      <w:r w:rsidRPr="004466EA">
        <w:rPr>
          <w:b/>
          <w:color w:val="76777B"/>
          <w:lang w:val="en-US"/>
        </w:rPr>
        <w:t>make installation, use and application even easier</w:t>
      </w:r>
      <w:r w:rsidRPr="004466EA">
        <w:rPr>
          <w:color w:val="76777B"/>
          <w:lang w:val="en-US"/>
        </w:rPr>
        <w:t xml:space="preserve">. These guidelines have led to the development of particularly robust boxes even without ribs on the inner vertical walls and special functional ribs on the back-mounting box enabling the fixing of plates, DIN rails and terminal blocks. The boxes can be used to </w:t>
      </w:r>
      <w:r w:rsidRPr="004466EA">
        <w:rPr>
          <w:b/>
          <w:color w:val="76777B"/>
          <w:lang w:val="en-US"/>
        </w:rPr>
        <w:t>easily couple large diameter conduits</w:t>
      </w:r>
      <w:r w:rsidRPr="004466EA">
        <w:rPr>
          <w:color w:val="76777B"/>
          <w:lang w:val="en-US"/>
        </w:rPr>
        <w:t xml:space="preserve"> (up to 50 mm ø) </w:t>
      </w:r>
      <w:r w:rsidRPr="004466EA">
        <w:rPr>
          <w:b/>
          <w:color w:val="76777B"/>
          <w:lang w:val="en-US"/>
        </w:rPr>
        <w:t>without any interference with multiple accessories</w:t>
      </w:r>
      <w:r w:rsidRPr="004466EA">
        <w:rPr>
          <w:color w:val="76777B"/>
          <w:lang w:val="en-US"/>
        </w:rPr>
        <w:t xml:space="preserve"> as the set back ribs do not interfere with the inner ring nuts of the conduit/box couplings.</w:t>
      </w:r>
    </w:p>
    <w:p w:rsidR="004466EA" w:rsidRPr="004466EA" w:rsidRDefault="004466EA" w:rsidP="004466EA">
      <w:pPr>
        <w:pStyle w:val="ComunicatoEXPOTesto"/>
        <w:rPr>
          <w:color w:val="76777B"/>
          <w:lang w:val="en-US"/>
        </w:rPr>
      </w:pPr>
      <w:r w:rsidRPr="004466EA">
        <w:rPr>
          <w:color w:val="76777B"/>
          <w:lang w:val="en-US"/>
        </w:rPr>
        <w:t>In the two largest sizes, apart from the classic assembly solutions using fixing brackets and a screw or wall plug (in all the versions), there are also special seats on the back-mounting box for quick fixing using a riveter. The covers have spherical plastic fixing screws for a hinged opening and the size 8 back-mounting box means back-mounting plates, of even smaller sizes, can be assembled.</w:t>
      </w:r>
    </w:p>
    <w:p w:rsidR="004466EA" w:rsidRPr="004466EA" w:rsidRDefault="004466EA" w:rsidP="004466EA">
      <w:pPr>
        <w:pStyle w:val="ComunicatoEXPOTesto"/>
        <w:rPr>
          <w:color w:val="76777B"/>
          <w:lang w:val="en-US"/>
        </w:rPr>
      </w:pPr>
      <w:r w:rsidRPr="004466EA">
        <w:rPr>
          <w:color w:val="76777B"/>
          <w:lang w:val="en-US"/>
        </w:rPr>
        <w:t xml:space="preserve">The dimensions range </w:t>
      </w:r>
      <w:r w:rsidRPr="004466EA">
        <w:rPr>
          <w:b/>
          <w:color w:val="76777B"/>
          <w:lang w:val="en-US"/>
        </w:rPr>
        <w:t>from 100 x 100 with a height of 80 mm, up to 380 x 300 with a height of 170 mm</w:t>
      </w:r>
      <w:r w:rsidRPr="004466EA">
        <w:rPr>
          <w:color w:val="76777B"/>
          <w:lang w:val="en-US"/>
        </w:rPr>
        <w:t xml:space="preserve">; available with both a blank and see-through lid, these features and the all-round synergy with accessories of the range make the 44CE range stand out even more. </w:t>
      </w:r>
    </w:p>
    <w:p w:rsidR="00DD0902" w:rsidRPr="004466EA" w:rsidRDefault="004466EA" w:rsidP="004466EA">
      <w:pPr>
        <w:pStyle w:val="ComunicatoEXPOTesto"/>
        <w:rPr>
          <w:color w:val="76777B"/>
          <w:lang w:val="en-US"/>
        </w:rPr>
      </w:pPr>
      <w:r w:rsidRPr="004466EA">
        <w:rPr>
          <w:color w:val="76777B"/>
          <w:lang w:val="en-US"/>
        </w:rPr>
        <w:t xml:space="preserve">Made of </w:t>
      </w:r>
      <w:r w:rsidRPr="004466EA">
        <w:rPr>
          <w:b/>
          <w:color w:val="76777B"/>
          <w:lang w:val="en-US"/>
        </w:rPr>
        <w:t>top quality, halogen-free technopolymers</w:t>
      </w:r>
      <w:r w:rsidRPr="004466EA">
        <w:rPr>
          <w:color w:val="76777B"/>
          <w:lang w:val="en-US"/>
        </w:rPr>
        <w:t xml:space="preserve">, the new boxes guarantee a </w:t>
      </w:r>
      <w:r w:rsidRPr="004466EA">
        <w:rPr>
          <w:b/>
          <w:color w:val="76777B"/>
          <w:lang w:val="en-US"/>
        </w:rPr>
        <w:t>self-extinguishing degree equal to GWT 650°C and IP56 degree of protection</w:t>
      </w:r>
      <w:r w:rsidRPr="004466EA">
        <w:rPr>
          <w:color w:val="76777B"/>
          <w:lang w:val="en-US"/>
        </w:rPr>
        <w:t>. These characteristics allow the 44 CE boxes to be used in any indoor or outdoor environment, even those with a notable fire risk.</w:t>
      </w:r>
    </w:p>
    <w:sectPr w:rsidR="00DD0902" w:rsidRPr="004466EA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C8" w:rsidRDefault="00F567C8" w:rsidP="006F1F2E">
      <w:r>
        <w:separator/>
      </w:r>
    </w:p>
  </w:endnote>
  <w:endnote w:type="continuationSeparator" w:id="0">
    <w:p w:rsidR="00F567C8" w:rsidRDefault="00F567C8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5B1E50" w:rsidRDefault="005B1E50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GEWISS Press &amp; Editorial Content Office</w:t>
                          </w:r>
                        </w:p>
                        <w:p w:rsidR="00AD6278" w:rsidRPr="005B1E50" w:rsidRDefault="005B1E50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Phone +39</w:t>
                          </w:r>
                          <w:r w:rsidR="00AD6278"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 035 946111 – </w:t>
                          </w:r>
                          <w:hyperlink r:id="rId1" w:history="1">
                            <w:r w:rsidR="00AD6278" w:rsidRPr="005B1E50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5B1E50" w:rsidRDefault="005B1E50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GEWISS Press &amp; Editorial Content Office</w:t>
                    </w:r>
                  </w:p>
                  <w:p w:rsidR="00AD6278" w:rsidRPr="005B1E50" w:rsidRDefault="005B1E50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Phone +39</w:t>
                    </w:r>
                    <w:r w:rsidR="00AD6278"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 035 946111 – </w:t>
                    </w:r>
                    <w:hyperlink r:id="rId3" w:history="1">
                      <w:r w:rsidR="00AD6278" w:rsidRPr="005B1E50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6EA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1248C097" wp14:editId="0C110AAB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C8" w:rsidRDefault="00F567C8" w:rsidP="006F1F2E">
      <w:r>
        <w:separator/>
      </w:r>
    </w:p>
  </w:footnote>
  <w:footnote w:type="continuationSeparator" w:id="0">
    <w:p w:rsidR="00F567C8" w:rsidRDefault="00F567C8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0B3D21" w:rsidRDefault="005B1E50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0B3D21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0B3D21" w:rsidRDefault="005B1E50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0B3D21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PRESS RELEASE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EA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3D21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28EE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F4E36"/>
    <w:rsid w:val="00431D3B"/>
    <w:rsid w:val="0043463B"/>
    <w:rsid w:val="00442FE0"/>
    <w:rsid w:val="004466EA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1E50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22E2F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5B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567C8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6C6D3EB-FC18-4EFC-AACB-B3341F04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8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E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A7EF-EEBA-4EA7-B7FA-DFCC21BE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3</cp:revision>
  <cp:lastPrinted>2015-10-27T13:11:00Z</cp:lastPrinted>
  <dcterms:created xsi:type="dcterms:W3CDTF">2015-10-29T08:00:00Z</dcterms:created>
  <dcterms:modified xsi:type="dcterms:W3CDTF">2016-11-30T13:32:00Z</dcterms:modified>
</cp:coreProperties>
</file>